
<file path=[Content_Types].xml><?xml version="1.0" encoding="utf-8"?>
<Types xmlns="http://schemas.openxmlformats.org/package/2006/content-types">
  <Default Extension="xml" ContentType="application/xml"/>
  <Default Extension="png" ContentType="image/png"/>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sz w:val="44"/>
          <w:szCs w:val="44"/>
        </w:rPr>
      </w:pPr>
      <w:r>
        <w:rPr>
          <w:rFonts w:hint="eastAsia" w:ascii="黑体" w:eastAsia="黑体"/>
          <w:b/>
          <w:color w:val="FF0000"/>
          <w:sz w:val="44"/>
          <w:szCs w:val="44"/>
        </w:rPr>
        <w:t>第</w:t>
      </w:r>
      <w:r>
        <w:rPr>
          <w:rFonts w:hint="eastAsia" w:ascii="黑体" w:eastAsia="黑体"/>
          <w:b/>
          <w:color w:val="FF0000"/>
          <w:sz w:val="44"/>
          <w:szCs w:val="44"/>
          <w:lang w:val="en-US" w:eastAsia="zh-CN"/>
        </w:rPr>
        <w:t>七</w:t>
      </w:r>
      <w:r>
        <w:rPr>
          <w:rFonts w:hint="eastAsia" w:ascii="黑体" w:eastAsia="黑体"/>
          <w:b/>
          <w:color w:val="FF0000"/>
          <w:sz w:val="44"/>
          <w:szCs w:val="44"/>
        </w:rPr>
        <w:t>届全国多肽药物研发及规模化生产</w:t>
      </w:r>
    </w:p>
    <w:p>
      <w:pPr>
        <w:jc w:val="center"/>
        <w:rPr>
          <w:rFonts w:ascii="黑体" w:eastAsia="黑体"/>
          <w:b/>
          <w:color w:val="FF0000"/>
          <w:sz w:val="44"/>
          <w:szCs w:val="44"/>
        </w:rPr>
      </w:pPr>
      <w:r>
        <w:rPr>
          <w:rFonts w:ascii="黑体" w:eastAsia="黑体"/>
          <w:b/>
          <w:sz w:val="44"/>
          <w:szCs w:val="44"/>
        </w:rPr>
        <w:pict>
          <v:shape id="_x0000_s1029" o:spid="_x0000_s1029" o:spt="32" type="#_x0000_t32" style="position:absolute;left:0pt;flip:y;margin-left:-3.65pt;margin-top:27.35pt;height:3.75pt;width:478.25pt;z-index:251663360;mso-width-relative:page;mso-height-relative:page;" o:connectortype="straight" filled="f" stroked="t" coordsize="21600,21600">
            <v:path arrowok="t"/>
            <v:fill on="f" focussize="0,0"/>
            <v:stroke weight="2pt" color="#FF0000"/>
            <v:imagedata o:title=""/>
            <o:lock v:ext="edit"/>
          </v:shape>
        </w:pict>
      </w:r>
      <w:r>
        <w:rPr>
          <w:rFonts w:hint="eastAsia" w:ascii="黑体" w:eastAsia="黑体"/>
          <w:b/>
          <w:color w:val="FF0000"/>
          <w:sz w:val="44"/>
          <w:szCs w:val="44"/>
        </w:rPr>
        <w:t>前沿技术学术交流会第二轮通知</w:t>
      </w:r>
    </w:p>
    <w:p>
      <w:pPr>
        <w:ind w:firstLine="723" w:firstLineChars="200"/>
        <w:rPr>
          <w:rFonts w:ascii="黑体" w:eastAsia="黑体"/>
          <w:b/>
          <w:sz w:val="36"/>
        </w:rPr>
      </w:pPr>
    </w:p>
    <w:p>
      <w:pPr>
        <w:spacing w:line="240" w:lineRule="atLeast"/>
        <w:ind w:firstLine="640" w:firstLineChars="200"/>
        <w:contextualSpacing/>
        <w:rPr>
          <w:rFonts w:ascii="黑体" w:eastAsia="黑体"/>
          <w:b/>
          <w:sz w:val="32"/>
          <w:szCs w:val="32"/>
        </w:rPr>
      </w:pPr>
      <w:r>
        <w:rPr>
          <w:rFonts w:hint="eastAsia" w:ascii="仿宋" w:eastAsia="仿宋"/>
          <w:sz w:val="32"/>
          <w:szCs w:val="32"/>
        </w:rPr>
        <w:t>多肽药物研发及规模化生产前沿技术交流会定于202</w:t>
      </w:r>
      <w:r>
        <w:rPr>
          <w:rFonts w:hint="eastAsia" w:ascii="仿宋" w:eastAsia="仿宋"/>
          <w:sz w:val="32"/>
          <w:szCs w:val="32"/>
          <w:lang w:val="en-US" w:eastAsia="zh-CN"/>
        </w:rPr>
        <w:t>1</w:t>
      </w:r>
      <w:r>
        <w:rPr>
          <w:rFonts w:hint="eastAsia" w:ascii="仿宋" w:eastAsia="仿宋"/>
          <w:sz w:val="32"/>
          <w:szCs w:val="32"/>
        </w:rPr>
        <w:t>年1</w:t>
      </w:r>
      <w:r>
        <w:rPr>
          <w:rFonts w:hint="eastAsia" w:ascii="仿宋" w:eastAsia="仿宋"/>
          <w:sz w:val="32"/>
          <w:szCs w:val="32"/>
          <w:lang w:val="en-US" w:eastAsia="zh-CN"/>
        </w:rPr>
        <w:t>1</w:t>
      </w:r>
      <w:r>
        <w:rPr>
          <w:rFonts w:hint="eastAsia" w:ascii="仿宋" w:eastAsia="仿宋"/>
          <w:sz w:val="32"/>
          <w:szCs w:val="32"/>
        </w:rPr>
        <w:t>月</w:t>
      </w:r>
      <w:r>
        <w:rPr>
          <w:rFonts w:hint="eastAsia" w:ascii="仿宋" w:eastAsia="仿宋"/>
          <w:sz w:val="32"/>
          <w:szCs w:val="32"/>
          <w:lang w:val="en-US" w:eastAsia="zh-CN"/>
        </w:rPr>
        <w:t>10</w:t>
      </w:r>
      <w:r>
        <w:rPr>
          <w:rFonts w:hint="eastAsia" w:ascii="仿宋" w:eastAsia="仿宋"/>
          <w:sz w:val="32"/>
          <w:szCs w:val="32"/>
        </w:rPr>
        <w:t>日至1</w:t>
      </w:r>
      <w:r>
        <w:rPr>
          <w:rFonts w:hint="eastAsia" w:ascii="仿宋" w:eastAsia="仿宋"/>
          <w:sz w:val="32"/>
          <w:szCs w:val="32"/>
          <w:lang w:val="en-US" w:eastAsia="zh-CN"/>
        </w:rPr>
        <w:t>2</w:t>
      </w:r>
      <w:r>
        <w:rPr>
          <w:rFonts w:hint="eastAsia" w:ascii="仿宋" w:eastAsia="仿宋"/>
          <w:sz w:val="32"/>
          <w:szCs w:val="32"/>
        </w:rPr>
        <w:t>日在海南省三亚市举行，本届会议将围绕以下</w:t>
      </w:r>
      <w:r>
        <w:rPr>
          <w:rFonts w:hint="eastAsia" w:ascii="仿宋" w:eastAsia="仿宋"/>
          <w:sz w:val="32"/>
          <w:szCs w:val="32"/>
          <w:lang w:val="en-US" w:eastAsia="zh-CN"/>
        </w:rPr>
        <w:t>六</w:t>
      </w:r>
      <w:r>
        <w:rPr>
          <w:rFonts w:hint="eastAsia" w:ascii="仿宋" w:eastAsia="仿宋"/>
          <w:sz w:val="32"/>
          <w:szCs w:val="32"/>
        </w:rPr>
        <w:t>个方面进行研讨：</w:t>
      </w:r>
    </w:p>
    <w:p>
      <w:pPr>
        <w:pStyle w:val="7"/>
        <w:numPr>
          <w:ilvl w:val="0"/>
          <w:numId w:val="1"/>
        </w:numPr>
        <w:spacing w:line="240" w:lineRule="atLeast"/>
        <w:ind w:firstLineChars="0"/>
        <w:contextualSpacing/>
        <w:rPr>
          <w:rFonts w:hint="eastAsia" w:ascii="仿宋" w:eastAsia="仿宋"/>
          <w:sz w:val="32"/>
          <w:szCs w:val="32"/>
        </w:rPr>
      </w:pPr>
      <w:r>
        <w:rPr>
          <w:rFonts w:hint="eastAsia" w:ascii="仿宋" w:eastAsia="仿宋"/>
          <w:sz w:val="32"/>
          <w:szCs w:val="32"/>
        </w:rPr>
        <w:t>多肽药物的最新趋势；</w:t>
      </w:r>
    </w:p>
    <w:p>
      <w:pPr>
        <w:pStyle w:val="7"/>
        <w:numPr>
          <w:ilvl w:val="0"/>
          <w:numId w:val="1"/>
        </w:numPr>
        <w:spacing w:line="240" w:lineRule="atLeast"/>
        <w:ind w:firstLineChars="0"/>
        <w:contextualSpacing/>
        <w:rPr>
          <w:rFonts w:hint="eastAsia" w:ascii="仿宋" w:eastAsia="仿宋"/>
          <w:sz w:val="32"/>
          <w:szCs w:val="32"/>
        </w:rPr>
      </w:pPr>
      <w:r>
        <w:rPr>
          <w:rFonts w:hint="eastAsia" w:ascii="仿宋" w:eastAsia="仿宋"/>
          <w:sz w:val="32"/>
          <w:szCs w:val="32"/>
        </w:rPr>
        <w:t>多肽</w:t>
      </w:r>
      <w:r>
        <w:rPr>
          <w:rFonts w:hint="eastAsia" w:ascii="仿宋" w:eastAsia="仿宋"/>
          <w:sz w:val="32"/>
          <w:szCs w:val="32"/>
          <w:lang w:val="en-US" w:eastAsia="zh-CN"/>
        </w:rPr>
        <w:t>产业的国际化</w:t>
      </w:r>
      <w:r>
        <w:rPr>
          <w:rFonts w:hint="eastAsia" w:ascii="仿宋" w:eastAsia="仿宋"/>
          <w:sz w:val="32"/>
          <w:szCs w:val="32"/>
        </w:rPr>
        <w:t>及国际研发的注册</w:t>
      </w:r>
      <w:r>
        <w:rPr>
          <w:rFonts w:hint="eastAsia" w:ascii="仿宋" w:eastAsia="仿宋"/>
          <w:sz w:val="32"/>
          <w:szCs w:val="32"/>
          <w:lang w:eastAsia="zh-CN"/>
        </w:rPr>
        <w:t>；</w:t>
      </w:r>
    </w:p>
    <w:p>
      <w:pPr>
        <w:pStyle w:val="7"/>
        <w:numPr>
          <w:ilvl w:val="0"/>
          <w:numId w:val="1"/>
        </w:numPr>
        <w:spacing w:line="240" w:lineRule="atLeast"/>
        <w:ind w:firstLineChars="0"/>
        <w:contextualSpacing/>
        <w:rPr>
          <w:rFonts w:hint="eastAsia" w:ascii="仿宋" w:eastAsia="仿宋"/>
          <w:sz w:val="32"/>
          <w:szCs w:val="32"/>
        </w:rPr>
      </w:pPr>
      <w:r>
        <w:rPr>
          <w:rFonts w:hint="eastAsia" w:ascii="仿宋" w:eastAsia="仿宋"/>
          <w:sz w:val="32"/>
          <w:szCs w:val="32"/>
        </w:rPr>
        <w:t>多肽药物的新技术与质量控制；</w:t>
      </w:r>
    </w:p>
    <w:p>
      <w:pPr>
        <w:pStyle w:val="7"/>
        <w:numPr>
          <w:ilvl w:val="0"/>
          <w:numId w:val="1"/>
        </w:numPr>
        <w:spacing w:line="240" w:lineRule="atLeast"/>
        <w:ind w:firstLineChars="0"/>
        <w:contextualSpacing/>
        <w:rPr>
          <w:rFonts w:hint="eastAsia" w:ascii="仿宋" w:eastAsia="仿宋"/>
          <w:sz w:val="32"/>
          <w:szCs w:val="32"/>
        </w:rPr>
      </w:pPr>
      <w:r>
        <w:rPr>
          <w:rFonts w:hint="eastAsia" w:ascii="仿宋" w:eastAsia="仿宋"/>
          <w:sz w:val="32"/>
          <w:szCs w:val="32"/>
        </w:rPr>
        <w:t>多肽药物</w:t>
      </w:r>
      <w:r>
        <w:rPr>
          <w:rFonts w:hint="eastAsia" w:ascii="仿宋" w:eastAsia="仿宋"/>
          <w:sz w:val="32"/>
          <w:szCs w:val="32"/>
          <w:lang w:val="en-US" w:eastAsia="zh-CN"/>
        </w:rPr>
        <w:t>的原料、装备及规模化生产</w:t>
      </w:r>
      <w:r>
        <w:rPr>
          <w:rFonts w:hint="eastAsia" w:ascii="仿宋" w:eastAsia="仿宋"/>
          <w:sz w:val="32"/>
          <w:szCs w:val="32"/>
        </w:rPr>
        <w:t>；</w:t>
      </w:r>
    </w:p>
    <w:p>
      <w:pPr>
        <w:pStyle w:val="7"/>
        <w:numPr>
          <w:ilvl w:val="0"/>
          <w:numId w:val="1"/>
        </w:numPr>
        <w:spacing w:line="240" w:lineRule="atLeast"/>
        <w:ind w:firstLineChars="0"/>
        <w:contextualSpacing/>
        <w:rPr>
          <w:rFonts w:hint="eastAsia" w:ascii="仿宋" w:eastAsia="仿宋"/>
          <w:sz w:val="32"/>
          <w:szCs w:val="32"/>
        </w:rPr>
      </w:pPr>
      <w:r>
        <w:rPr>
          <w:rFonts w:hint="eastAsia" w:ascii="仿宋" w:eastAsia="仿宋"/>
          <w:sz w:val="32"/>
          <w:szCs w:val="32"/>
        </w:rPr>
        <w:t>多肽的治疗理论及临床应用新进展</w:t>
      </w:r>
      <w:r>
        <w:rPr>
          <w:rFonts w:hint="eastAsia" w:ascii="仿宋" w:eastAsia="仿宋"/>
          <w:sz w:val="32"/>
          <w:szCs w:val="32"/>
          <w:lang w:eastAsia="zh-CN"/>
        </w:rPr>
        <w:t>；</w:t>
      </w:r>
    </w:p>
    <w:p>
      <w:pPr>
        <w:pStyle w:val="7"/>
        <w:numPr>
          <w:ilvl w:val="0"/>
          <w:numId w:val="1"/>
        </w:numPr>
        <w:spacing w:line="240" w:lineRule="atLeast"/>
        <w:ind w:firstLineChars="0"/>
        <w:contextualSpacing/>
        <w:rPr>
          <w:rFonts w:hint="eastAsia" w:ascii="仿宋" w:eastAsia="仿宋"/>
          <w:sz w:val="32"/>
          <w:szCs w:val="32"/>
        </w:rPr>
      </w:pPr>
      <w:r>
        <w:rPr>
          <w:rFonts w:hint="eastAsia" w:ascii="仿宋" w:eastAsia="仿宋"/>
          <w:sz w:val="32"/>
          <w:szCs w:val="32"/>
          <w:lang w:val="en-US" w:eastAsia="zh-CN"/>
        </w:rPr>
        <w:t>寡核苷酸药物研发及生产。</w:t>
      </w:r>
    </w:p>
    <w:p>
      <w:pPr>
        <w:spacing w:line="240" w:lineRule="atLeast"/>
        <w:ind w:firstLine="480" w:firstLineChars="200"/>
        <w:contextualSpacing/>
        <w:rPr>
          <w:rFonts w:hint="eastAsia" w:ascii="仿宋" w:eastAsia="仿宋"/>
          <w:sz w:val="32"/>
          <w:szCs w:val="32"/>
        </w:rPr>
      </w:pPr>
      <w:r>
        <w:rPr>
          <w:rFonts w:hint="eastAsia" w:ascii="宋体" w:hAnsi="宋体" w:cs="宋体"/>
          <w:sz w:val="24"/>
          <w:szCs w:val="24"/>
        </w:rPr>
        <w:t xml:space="preserve">  </w:t>
      </w:r>
      <w:r>
        <w:rPr>
          <w:rFonts w:hint="eastAsia" w:ascii="仿宋" w:eastAsia="仿宋"/>
          <w:sz w:val="32"/>
          <w:szCs w:val="32"/>
        </w:rPr>
        <w:t>本届交流会将为国内多肽药物领域同行间技术交流、增加合作契机及加深友谊提供高层次交流会议。会议将邀请国内多肽药物研发规模化生产相关领域的专家，包括国家杰出青年基金获得者、青年杰出人才、海归人士、多肽行业企业家等，围绕会议主题，深入交流近年来多肽药物研发及规模化生产的发展趋势。</w:t>
      </w:r>
    </w:p>
    <w:p>
      <w:pPr>
        <w:spacing w:line="240" w:lineRule="atLeast"/>
        <w:ind w:firstLine="640" w:firstLineChars="200"/>
        <w:contextualSpacing/>
        <w:rPr>
          <w:rFonts w:hint="eastAsia" w:ascii="仿宋" w:eastAsia="仿宋"/>
          <w:sz w:val="32"/>
          <w:szCs w:val="32"/>
        </w:rPr>
      </w:pPr>
      <w:r>
        <w:rPr>
          <w:rFonts w:hint="eastAsia" w:ascii="仿宋" w:eastAsia="仿宋"/>
          <w:sz w:val="32"/>
          <w:szCs w:val="32"/>
        </w:rPr>
        <w:t>我们热忱欢迎多肽药物领域的专家和同仁们参加多肽药物研发及规模化生产前沿交流会，衷心感谢您的大力支持！</w:t>
      </w:r>
    </w:p>
    <w:p>
      <w:pPr>
        <w:spacing w:line="240" w:lineRule="atLeast"/>
        <w:ind w:firstLine="570"/>
        <w:contextualSpacing/>
        <w:rPr>
          <w:rFonts w:hint="eastAsia" w:ascii="仿宋" w:eastAsia="仿宋"/>
          <w:sz w:val="32"/>
          <w:szCs w:val="32"/>
        </w:rPr>
      </w:pPr>
    </w:p>
    <w:p>
      <w:pPr>
        <w:spacing w:line="240" w:lineRule="atLeast"/>
        <w:contextualSpacing/>
        <w:rPr>
          <w:rFonts w:ascii="仿宋" w:eastAsia="仿宋"/>
          <w:sz w:val="32"/>
          <w:szCs w:val="32"/>
        </w:rPr>
      </w:pPr>
    </w:p>
    <w:p>
      <w:pPr>
        <w:spacing w:line="240" w:lineRule="atLeast"/>
        <w:contextualSpacing/>
        <w:rPr>
          <w:rFonts w:ascii="仿宋" w:eastAsia="仿宋"/>
          <w:sz w:val="32"/>
          <w:szCs w:val="32"/>
        </w:rPr>
      </w:pPr>
    </w:p>
    <w:p>
      <w:pPr>
        <w:adjustRightInd w:val="0"/>
        <w:snapToGrid w:val="0"/>
        <w:spacing w:line="360" w:lineRule="auto"/>
        <w:rPr>
          <w:rFonts w:ascii="仿宋" w:eastAsia="仿宋"/>
          <w:sz w:val="32"/>
          <w:szCs w:val="32"/>
        </w:rPr>
      </w:pPr>
    </w:p>
    <w:p>
      <w:pPr>
        <w:adjustRightInd w:val="0"/>
        <w:snapToGrid w:val="0"/>
        <w:spacing w:line="360" w:lineRule="auto"/>
        <w:ind w:firstLine="640" w:firstLineChars="200"/>
        <w:rPr>
          <w:rFonts w:ascii="仿宋" w:eastAsia="仿宋"/>
          <w:sz w:val="32"/>
          <w:szCs w:val="32"/>
        </w:rPr>
      </w:pPr>
      <w:r>
        <w:rPr>
          <w:rFonts w:hint="eastAsia" w:ascii="仿宋" w:eastAsia="仿宋"/>
          <w:sz w:val="32"/>
          <w:szCs w:val="32"/>
        </w:rPr>
        <w:t>附件1：会议主要信息说明</w:t>
      </w:r>
    </w:p>
    <w:p>
      <w:pPr>
        <w:adjustRightInd w:val="0"/>
        <w:snapToGrid w:val="0"/>
        <w:spacing w:line="360" w:lineRule="auto"/>
        <w:ind w:firstLine="640" w:firstLineChars="200"/>
        <w:rPr>
          <w:rFonts w:ascii="仿宋" w:eastAsia="仿宋"/>
          <w:sz w:val="32"/>
          <w:szCs w:val="32"/>
        </w:rPr>
      </w:pPr>
      <w:r>
        <w:rPr>
          <w:rFonts w:hint="eastAsia" w:ascii="仿宋" w:eastAsia="仿宋"/>
          <w:sz w:val="32"/>
          <w:szCs w:val="32"/>
        </w:rPr>
        <w:t>附件2：酒店地址及交通信息</w:t>
      </w:r>
    </w:p>
    <w:p>
      <w:pPr>
        <w:adjustRightInd w:val="0"/>
        <w:snapToGrid w:val="0"/>
        <w:spacing w:line="360" w:lineRule="auto"/>
        <w:ind w:firstLine="640" w:firstLineChars="200"/>
        <w:rPr>
          <w:rFonts w:ascii="仿宋" w:eastAsia="仿宋"/>
          <w:sz w:val="32"/>
          <w:szCs w:val="32"/>
        </w:rPr>
      </w:pPr>
      <w:r>
        <w:rPr>
          <w:rFonts w:hint="eastAsia" w:ascii="仿宋" w:eastAsia="仿宋"/>
          <w:sz w:val="32"/>
          <w:szCs w:val="32"/>
        </w:rPr>
        <w:t>附件3：报名回执表</w:t>
      </w:r>
    </w:p>
    <w:p>
      <w:pPr>
        <w:adjustRightInd w:val="0"/>
        <w:snapToGrid w:val="0"/>
        <w:spacing w:line="360" w:lineRule="auto"/>
        <w:ind w:firstLine="640" w:firstLineChars="200"/>
        <w:rPr>
          <w:rFonts w:hint="eastAsia" w:ascii="仿宋" w:eastAsia="仿宋"/>
          <w:sz w:val="32"/>
          <w:szCs w:val="32"/>
          <w:lang w:val="en-US" w:eastAsia="zh-CN"/>
        </w:rPr>
      </w:pPr>
      <w:r>
        <w:rPr>
          <w:rFonts w:hint="eastAsia" w:ascii="仿宋" w:eastAsia="仿宋"/>
          <w:sz w:val="32"/>
          <w:szCs w:val="32"/>
        </w:rPr>
        <w:t>附件4：</w:t>
      </w:r>
      <w:r>
        <w:rPr>
          <w:rFonts w:ascii="仿宋" w:eastAsia="仿宋"/>
          <w:sz w:val="32"/>
          <w:szCs w:val="32"/>
        </w:rPr>
        <w:t>特邀</w:t>
      </w:r>
      <w:r>
        <w:rPr>
          <w:rFonts w:hint="eastAsia" w:ascii="仿宋" w:eastAsia="仿宋"/>
          <w:sz w:val="32"/>
          <w:szCs w:val="32"/>
        </w:rPr>
        <w:t>专家</w:t>
      </w:r>
      <w:r>
        <w:rPr>
          <w:rFonts w:hint="eastAsia" w:ascii="仿宋" w:eastAsia="仿宋"/>
          <w:sz w:val="32"/>
          <w:szCs w:val="32"/>
          <w:lang w:val="en-US" w:eastAsia="zh-CN"/>
        </w:rPr>
        <w:t>名单</w:t>
      </w:r>
    </w:p>
    <w:p>
      <w:pPr>
        <w:adjustRightInd w:val="0"/>
        <w:snapToGrid w:val="0"/>
        <w:spacing w:line="360" w:lineRule="auto"/>
        <w:ind w:firstLine="640" w:firstLineChars="200"/>
        <w:rPr>
          <w:rFonts w:ascii="仿宋" w:eastAsia="仿宋"/>
          <w:sz w:val="32"/>
          <w:szCs w:val="32"/>
        </w:rPr>
      </w:pPr>
      <w:r>
        <w:rPr>
          <w:rFonts w:hint="eastAsia" w:ascii="仿宋" w:eastAsia="仿宋"/>
          <w:sz w:val="32"/>
          <w:szCs w:val="32"/>
        </w:rPr>
        <w:t>附件5：往届参展</w:t>
      </w:r>
      <w:r>
        <w:rPr>
          <w:rFonts w:ascii="仿宋" w:eastAsia="仿宋"/>
          <w:sz w:val="32"/>
          <w:szCs w:val="32"/>
        </w:rPr>
        <w:t>单位一览表</w:t>
      </w:r>
    </w:p>
    <w:p>
      <w:pPr>
        <w:adjustRightInd w:val="0"/>
        <w:snapToGrid w:val="0"/>
        <w:spacing w:line="360" w:lineRule="auto"/>
        <w:ind w:firstLine="640" w:firstLineChars="200"/>
        <w:rPr>
          <w:rFonts w:ascii="仿宋" w:eastAsia="仿宋"/>
          <w:sz w:val="32"/>
          <w:szCs w:val="32"/>
        </w:rPr>
      </w:pPr>
    </w:p>
    <w:p>
      <w:pPr>
        <w:adjustRightInd w:val="0"/>
        <w:snapToGrid w:val="0"/>
        <w:spacing w:line="360" w:lineRule="auto"/>
        <w:ind w:firstLine="640" w:firstLineChars="200"/>
        <w:rPr>
          <w:rFonts w:ascii="仿宋" w:eastAsia="仿宋"/>
          <w:sz w:val="32"/>
          <w:szCs w:val="32"/>
        </w:rPr>
      </w:pPr>
    </w:p>
    <w:p>
      <w:pPr>
        <w:adjustRightInd w:val="0"/>
        <w:snapToGrid w:val="0"/>
        <w:spacing w:line="360" w:lineRule="auto"/>
        <w:ind w:firstLine="560" w:firstLineChars="200"/>
        <w:rPr>
          <w:rFonts w:ascii="仿宋" w:eastAsia="仿宋"/>
          <w:sz w:val="28"/>
        </w:rPr>
      </w:pPr>
    </w:p>
    <w:p>
      <w:pPr>
        <w:adjustRightInd w:val="0"/>
        <w:snapToGrid w:val="0"/>
        <w:spacing w:line="360" w:lineRule="auto"/>
        <w:ind w:firstLine="560" w:firstLineChars="200"/>
        <w:rPr>
          <w:rFonts w:ascii="仿宋" w:eastAsia="仿宋"/>
          <w:sz w:val="28"/>
        </w:rPr>
      </w:pPr>
    </w:p>
    <w:p>
      <w:pPr>
        <w:adjustRightInd w:val="0"/>
        <w:snapToGrid w:val="0"/>
        <w:spacing w:line="360" w:lineRule="auto"/>
        <w:ind w:firstLine="560" w:firstLineChars="200"/>
        <w:rPr>
          <w:rFonts w:ascii="仿宋" w:eastAsia="仿宋"/>
          <w:sz w:val="28"/>
        </w:rPr>
      </w:pPr>
    </w:p>
    <w:p>
      <w:pPr>
        <w:adjustRightInd w:val="0"/>
        <w:snapToGrid w:val="0"/>
        <w:spacing w:line="360" w:lineRule="auto"/>
        <w:ind w:firstLine="560" w:firstLineChars="200"/>
        <w:rPr>
          <w:rFonts w:ascii="仿宋" w:eastAsia="仿宋"/>
          <w:sz w:val="28"/>
        </w:rPr>
      </w:pPr>
    </w:p>
    <w:p>
      <w:pPr>
        <w:adjustRightInd w:val="0"/>
        <w:snapToGrid w:val="0"/>
        <w:spacing w:line="360" w:lineRule="auto"/>
        <w:ind w:firstLine="560" w:firstLineChars="200"/>
        <w:rPr>
          <w:rFonts w:ascii="仿宋" w:eastAsia="仿宋"/>
          <w:sz w:val="28"/>
        </w:rPr>
      </w:pPr>
    </w:p>
    <w:p>
      <w:pPr>
        <w:adjustRightInd w:val="0"/>
        <w:snapToGrid w:val="0"/>
        <w:spacing w:line="360" w:lineRule="auto"/>
        <w:ind w:firstLine="420" w:firstLineChars="200"/>
        <w:rPr>
          <w:rFonts w:ascii="仿宋" w:eastAsia="仿宋"/>
          <w:sz w:val="28"/>
        </w:rPr>
      </w:pPr>
      <w:r>
        <w:drawing>
          <wp:anchor distT="0" distB="0" distL="114300" distR="114300" simplePos="0" relativeHeight="251661312" behindDoc="1" locked="0" layoutInCell="1" allowOverlap="1">
            <wp:simplePos x="0" y="0"/>
            <wp:positionH relativeFrom="column">
              <wp:posOffset>3064510</wp:posOffset>
            </wp:positionH>
            <wp:positionV relativeFrom="paragraph">
              <wp:posOffset>249555</wp:posOffset>
            </wp:positionV>
            <wp:extent cx="1438910" cy="1438275"/>
            <wp:effectExtent l="19050" t="0" r="8890" b="0"/>
            <wp:wrapNone/>
            <wp:docPr id="12" name="图片 3" descr="建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建邦"/>
                    <pic:cNvPicPr>
                      <a:picLocks noChangeAspect="1" noChangeArrowheads="1"/>
                    </pic:cNvPicPr>
                  </pic:nvPicPr>
                  <pic:blipFill>
                    <a:blip r:embed="rId5" cstate="print"/>
                    <a:srcRect/>
                    <a:stretch>
                      <a:fillRect/>
                    </a:stretch>
                  </pic:blipFill>
                  <pic:spPr>
                    <a:xfrm>
                      <a:off x="0" y="0"/>
                      <a:ext cx="1438910" cy="1438275"/>
                    </a:xfrm>
                    <a:prstGeom prst="rect">
                      <a:avLst/>
                    </a:prstGeom>
                    <a:noFill/>
                    <a:ln w="9525">
                      <a:noFill/>
                      <a:miter lim="800000"/>
                      <a:headEnd/>
                      <a:tailEnd/>
                    </a:ln>
                  </pic:spPr>
                </pic:pic>
              </a:graphicData>
            </a:graphic>
          </wp:anchor>
        </w:drawing>
      </w:r>
      <w:r>
        <w:drawing>
          <wp:anchor distT="0" distB="0" distL="114300" distR="114300" simplePos="0" relativeHeight="251666432" behindDoc="1" locked="0" layoutInCell="1" allowOverlap="1">
            <wp:simplePos x="0" y="0"/>
            <wp:positionH relativeFrom="column">
              <wp:posOffset>4626610</wp:posOffset>
            </wp:positionH>
            <wp:positionV relativeFrom="paragraph">
              <wp:posOffset>192405</wp:posOffset>
            </wp:positionV>
            <wp:extent cx="1447800" cy="1438275"/>
            <wp:effectExtent l="19050" t="0" r="0" b="0"/>
            <wp:wrapNone/>
            <wp:docPr id="29" name="图片 16" descr="C:\Users\Administrator\Desktop\优拜生物.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descr="C:\Users\Administrator\Desktop\优拜生物.gif"/>
                    <pic:cNvPicPr>
                      <a:picLocks noChangeAspect="1" noChangeArrowheads="1"/>
                    </pic:cNvPicPr>
                  </pic:nvPicPr>
                  <pic:blipFill>
                    <a:blip r:embed="rId6"/>
                    <a:srcRect/>
                    <a:stretch>
                      <a:fillRect/>
                    </a:stretch>
                  </pic:blipFill>
                  <pic:spPr>
                    <a:xfrm>
                      <a:off x="0" y="0"/>
                      <a:ext cx="1447800" cy="1438275"/>
                    </a:xfrm>
                    <a:prstGeom prst="rect">
                      <a:avLst/>
                    </a:prstGeom>
                    <a:noFill/>
                    <a:ln w="9525">
                      <a:noFill/>
                      <a:miter lim="800000"/>
                      <a:headEnd/>
                      <a:tailEnd/>
                    </a:ln>
                  </pic:spPr>
                </pic:pic>
              </a:graphicData>
            </a:graphic>
          </wp:anchor>
        </w:drawing>
      </w:r>
    </w:p>
    <w:p>
      <w:pPr>
        <w:adjustRightInd w:val="0"/>
        <w:snapToGrid w:val="0"/>
        <w:spacing w:line="360" w:lineRule="auto"/>
        <w:ind w:firstLine="5120" w:firstLineChars="1600"/>
        <w:rPr>
          <w:rFonts w:ascii="仿宋" w:eastAsia="仿宋"/>
          <w:sz w:val="32"/>
          <w:szCs w:val="32"/>
        </w:rPr>
      </w:pPr>
      <w:r>
        <w:rPr>
          <w:rFonts w:hint="eastAsia" w:ascii="仿宋" w:eastAsia="仿宋"/>
          <w:sz w:val="32"/>
          <w:szCs w:val="32"/>
        </w:rPr>
        <w:t>海南建邦</w:t>
      </w:r>
      <w:r>
        <w:rPr>
          <w:rFonts w:ascii="仿宋" w:eastAsia="仿宋"/>
          <w:sz w:val="32"/>
          <w:szCs w:val="32"/>
        </w:rPr>
        <w:t>制药科技有限公司</w:t>
      </w:r>
    </w:p>
    <w:p>
      <w:pPr>
        <w:adjustRightInd w:val="0"/>
        <w:snapToGrid w:val="0"/>
        <w:spacing w:line="360" w:lineRule="auto"/>
        <w:ind w:firstLine="5120" w:firstLineChars="1600"/>
        <w:rPr>
          <w:rFonts w:ascii="仿宋" w:eastAsia="仿宋"/>
          <w:sz w:val="32"/>
          <w:szCs w:val="32"/>
        </w:rPr>
      </w:pPr>
      <w:r>
        <w:rPr>
          <w:rFonts w:hint="eastAsia" w:ascii="仿宋" w:eastAsia="仿宋"/>
          <w:sz w:val="32"/>
          <w:szCs w:val="32"/>
        </w:rPr>
        <w:t>海南优拜生物技术有限公司</w:t>
      </w:r>
    </w:p>
    <w:p>
      <w:pPr>
        <w:snapToGrid w:val="0"/>
        <w:spacing w:line="360" w:lineRule="auto"/>
        <w:ind w:right="325" w:rightChars="155"/>
        <w:jc w:val="center"/>
        <w:rPr>
          <w:rFonts w:ascii="仿宋" w:eastAsia="仿宋"/>
          <w:sz w:val="32"/>
          <w:szCs w:val="32"/>
        </w:rPr>
      </w:pPr>
      <w:r>
        <w:rPr>
          <w:rFonts w:hint="eastAsia" w:ascii="仿宋" w:eastAsia="仿宋"/>
          <w:sz w:val="32"/>
          <w:szCs w:val="32"/>
        </w:rPr>
        <w:t xml:space="preserve">                             二〇二</w:t>
      </w:r>
      <w:r>
        <w:rPr>
          <w:rFonts w:hint="eastAsia" w:ascii="仿宋" w:eastAsia="仿宋"/>
          <w:sz w:val="32"/>
          <w:szCs w:val="32"/>
          <w:lang w:val="en-US" w:eastAsia="zh-CN"/>
        </w:rPr>
        <w:t>一</w:t>
      </w:r>
      <w:r>
        <w:rPr>
          <w:rFonts w:hint="eastAsia" w:ascii="仿宋" w:eastAsia="仿宋"/>
          <w:sz w:val="32"/>
          <w:szCs w:val="32"/>
        </w:rPr>
        <w:t>年</w:t>
      </w:r>
      <w:r>
        <w:rPr>
          <w:rFonts w:hint="eastAsia" w:ascii="仿宋" w:eastAsia="仿宋"/>
          <w:sz w:val="32"/>
          <w:szCs w:val="32"/>
          <w:lang w:val="en-US" w:eastAsia="zh-CN"/>
        </w:rPr>
        <w:t>八</w:t>
      </w:r>
      <w:r>
        <w:rPr>
          <w:rFonts w:hint="eastAsia" w:ascii="仿宋" w:eastAsia="仿宋"/>
          <w:sz w:val="32"/>
          <w:szCs w:val="32"/>
        </w:rPr>
        <w:t>月二十</w:t>
      </w:r>
      <w:r>
        <w:rPr>
          <w:rFonts w:hint="eastAsia" w:ascii="仿宋" w:eastAsia="仿宋"/>
          <w:sz w:val="32"/>
          <w:szCs w:val="32"/>
          <w:lang w:val="en-US" w:eastAsia="zh-CN"/>
        </w:rPr>
        <w:t>五</w:t>
      </w:r>
      <w:r>
        <w:rPr>
          <w:rFonts w:hint="eastAsia" w:ascii="仿宋" w:eastAsia="仿宋"/>
          <w:sz w:val="32"/>
          <w:szCs w:val="32"/>
        </w:rPr>
        <w:t>日</w:t>
      </w:r>
    </w:p>
    <w:p>
      <w:pPr>
        <w:rPr>
          <w:rFonts w:ascii="仿宋" w:eastAsia="仿宋"/>
          <w:sz w:val="24"/>
        </w:rPr>
      </w:pPr>
    </w:p>
    <w:p>
      <w:pPr>
        <w:rPr>
          <w:rFonts w:ascii="仿宋" w:eastAsia="仿宋"/>
          <w:sz w:val="24"/>
        </w:rPr>
      </w:pPr>
    </w:p>
    <w:p>
      <w:pPr>
        <w:rPr>
          <w:rFonts w:ascii="仿宋" w:eastAsia="仿宋"/>
          <w:sz w:val="24"/>
        </w:rPr>
      </w:pPr>
    </w:p>
    <w:p>
      <w:pPr>
        <w:rPr>
          <w:rFonts w:ascii="仿宋" w:eastAsia="仿宋"/>
          <w:sz w:val="24"/>
        </w:rPr>
      </w:pPr>
    </w:p>
    <w:p>
      <w:pPr>
        <w:rPr>
          <w:rFonts w:ascii="仿宋" w:eastAsia="仿宋"/>
          <w:sz w:val="24"/>
        </w:rPr>
      </w:pPr>
    </w:p>
    <w:p>
      <w:pPr>
        <w:rPr>
          <w:rFonts w:ascii="仿宋" w:eastAsia="仿宋"/>
        </w:rPr>
      </w:pPr>
    </w:p>
    <w:p>
      <w:pPr>
        <w:rPr>
          <w:rFonts w:ascii="仿宋" w:eastAsia="仿宋"/>
        </w:rPr>
      </w:pPr>
    </w:p>
    <w:p>
      <w:pPr>
        <w:rPr>
          <w:rFonts w:ascii="仿宋" w:eastAsia="仿宋"/>
        </w:rPr>
      </w:pPr>
    </w:p>
    <w:p>
      <w:pPr>
        <w:rPr>
          <w:rFonts w:ascii="仿宋" w:eastAsia="仿宋"/>
        </w:rPr>
      </w:pPr>
    </w:p>
    <w:p>
      <w:pPr>
        <w:rPr>
          <w:rFonts w:ascii="仿宋" w:eastAsia="仿宋"/>
        </w:rPr>
      </w:pPr>
    </w:p>
    <w:p>
      <w:pPr>
        <w:rPr>
          <w:rFonts w:ascii="仿宋" w:eastAsia="仿宋"/>
          <w:b/>
          <w:sz w:val="24"/>
          <w:szCs w:val="24"/>
        </w:rPr>
      </w:pPr>
    </w:p>
    <w:p>
      <w:pPr>
        <w:rPr>
          <w:rFonts w:ascii="仿宋" w:eastAsia="仿宋"/>
          <w:b/>
          <w:sz w:val="24"/>
          <w:szCs w:val="24"/>
        </w:rPr>
      </w:pPr>
    </w:p>
    <w:p>
      <w:pPr>
        <w:rPr>
          <w:rFonts w:ascii="仿宋" w:eastAsia="仿宋"/>
          <w:b/>
          <w:sz w:val="24"/>
          <w:szCs w:val="24"/>
        </w:rPr>
      </w:pPr>
    </w:p>
    <w:p>
      <w:pPr>
        <w:rPr>
          <w:rFonts w:ascii="仿宋" w:eastAsia="仿宋"/>
          <w:b/>
          <w:sz w:val="24"/>
          <w:szCs w:val="24"/>
        </w:rPr>
      </w:pPr>
    </w:p>
    <w:p>
      <w:pPr>
        <w:rPr>
          <w:rFonts w:ascii="仿宋" w:eastAsia="仿宋"/>
          <w:b/>
          <w:sz w:val="24"/>
          <w:szCs w:val="24"/>
        </w:rPr>
      </w:pPr>
    </w:p>
    <w:p>
      <w:pPr>
        <w:rPr>
          <w:rFonts w:ascii="仿宋" w:eastAsia="仿宋"/>
          <w:b/>
          <w:sz w:val="24"/>
          <w:szCs w:val="24"/>
        </w:rPr>
      </w:pPr>
    </w:p>
    <w:p>
      <w:pPr>
        <w:rPr>
          <w:rFonts w:ascii="仿宋" w:eastAsia="仿宋"/>
          <w:b/>
          <w:color w:val="000000"/>
          <w:sz w:val="32"/>
          <w:szCs w:val="32"/>
        </w:rPr>
      </w:pPr>
      <w:r>
        <w:rPr>
          <w:rFonts w:hint="eastAsia" w:ascii="仿宋" w:eastAsia="仿宋"/>
          <w:b/>
          <w:color w:val="000000"/>
          <w:sz w:val="32"/>
          <w:szCs w:val="32"/>
        </w:rPr>
        <w:t>附件1：</w:t>
      </w:r>
    </w:p>
    <w:p>
      <w:pPr>
        <w:spacing w:line="360" w:lineRule="auto"/>
        <w:jc w:val="center"/>
        <w:rPr>
          <w:rFonts w:ascii="黑体" w:eastAsia="黑体"/>
          <w:b/>
          <w:sz w:val="30"/>
          <w:szCs w:val="30"/>
        </w:rPr>
      </w:pPr>
      <w:r>
        <w:rPr>
          <w:rFonts w:hint="eastAsia" w:ascii="黑体" w:eastAsia="黑体"/>
          <w:b/>
          <w:sz w:val="30"/>
          <w:szCs w:val="30"/>
        </w:rPr>
        <w:t>会议主要信息说明</w:t>
      </w:r>
    </w:p>
    <w:p>
      <w:pPr>
        <w:snapToGrid w:val="0"/>
        <w:spacing w:line="360" w:lineRule="auto"/>
        <w:rPr>
          <w:rFonts w:ascii="仿宋" w:eastAsia="仿宋"/>
          <w:b/>
          <w:sz w:val="30"/>
          <w:szCs w:val="30"/>
        </w:rPr>
      </w:pPr>
      <w:r>
        <w:rPr>
          <w:rFonts w:hint="eastAsia" w:ascii="仿宋" w:eastAsia="仿宋"/>
          <w:b/>
          <w:sz w:val="30"/>
          <w:szCs w:val="30"/>
        </w:rPr>
        <w:t>一、会议地点、时间</w:t>
      </w:r>
    </w:p>
    <w:p>
      <w:pPr>
        <w:snapToGrid w:val="0"/>
        <w:spacing w:line="360" w:lineRule="auto"/>
        <w:ind w:firstLine="600" w:firstLineChars="200"/>
        <w:rPr>
          <w:rFonts w:ascii="仿宋" w:eastAsia="仿宋"/>
          <w:color w:val="000000"/>
          <w:sz w:val="30"/>
          <w:szCs w:val="30"/>
        </w:rPr>
      </w:pPr>
      <w:r>
        <w:rPr>
          <w:rFonts w:hint="eastAsia" w:ascii="仿宋" w:eastAsia="仿宋"/>
          <w:sz w:val="30"/>
          <w:szCs w:val="30"/>
        </w:rPr>
        <w:t>地点</w:t>
      </w:r>
      <w:r>
        <w:rPr>
          <w:rFonts w:hint="eastAsia" w:ascii="仿宋" w:eastAsia="仿宋"/>
          <w:color w:val="000000"/>
          <w:sz w:val="30"/>
          <w:szCs w:val="30"/>
        </w:rPr>
        <w:t>：海南省三亚海棠湾喜来登酒店</w:t>
      </w:r>
    </w:p>
    <w:p>
      <w:pPr>
        <w:snapToGrid w:val="0"/>
        <w:spacing w:line="360" w:lineRule="auto"/>
        <w:ind w:firstLine="600" w:firstLineChars="200"/>
        <w:rPr>
          <w:rFonts w:ascii="仿宋" w:eastAsia="仿宋"/>
          <w:color w:val="000000"/>
          <w:sz w:val="30"/>
          <w:szCs w:val="30"/>
        </w:rPr>
      </w:pPr>
      <w:r>
        <w:rPr>
          <w:rFonts w:hint="eastAsia" w:ascii="仿宋" w:eastAsia="仿宋"/>
          <w:color w:val="000000"/>
          <w:sz w:val="30"/>
          <w:szCs w:val="30"/>
        </w:rPr>
        <w:t>报到时间：202</w:t>
      </w:r>
      <w:r>
        <w:rPr>
          <w:rFonts w:hint="eastAsia" w:ascii="仿宋" w:eastAsia="仿宋"/>
          <w:color w:val="000000"/>
          <w:sz w:val="30"/>
          <w:szCs w:val="30"/>
          <w:lang w:val="en-US" w:eastAsia="zh-CN"/>
        </w:rPr>
        <w:t>1</w:t>
      </w:r>
      <w:r>
        <w:rPr>
          <w:rFonts w:hint="eastAsia" w:ascii="仿宋" w:eastAsia="仿宋"/>
          <w:color w:val="000000"/>
          <w:sz w:val="30"/>
          <w:szCs w:val="30"/>
        </w:rPr>
        <w:t>年1</w:t>
      </w:r>
      <w:r>
        <w:rPr>
          <w:rFonts w:hint="eastAsia" w:ascii="仿宋" w:eastAsia="仿宋"/>
          <w:color w:val="000000"/>
          <w:sz w:val="30"/>
          <w:szCs w:val="30"/>
          <w:lang w:val="en-US" w:eastAsia="zh-CN"/>
        </w:rPr>
        <w:t>1</w:t>
      </w:r>
      <w:r>
        <w:rPr>
          <w:rFonts w:hint="eastAsia" w:ascii="仿宋" w:eastAsia="仿宋"/>
          <w:color w:val="000000"/>
          <w:sz w:val="30"/>
          <w:szCs w:val="30"/>
        </w:rPr>
        <w:t>月</w:t>
      </w:r>
      <w:r>
        <w:rPr>
          <w:rFonts w:hint="eastAsia" w:ascii="仿宋" w:eastAsia="仿宋"/>
          <w:color w:val="000000"/>
          <w:sz w:val="30"/>
          <w:szCs w:val="30"/>
          <w:lang w:val="en-US" w:eastAsia="zh-CN"/>
        </w:rPr>
        <w:t>10</w:t>
      </w:r>
      <w:r>
        <w:rPr>
          <w:rFonts w:hint="eastAsia" w:ascii="仿宋" w:eastAsia="仿宋"/>
          <w:color w:val="000000"/>
          <w:sz w:val="30"/>
          <w:szCs w:val="30"/>
        </w:rPr>
        <w:t>日（全天）</w:t>
      </w:r>
    </w:p>
    <w:p>
      <w:pPr>
        <w:snapToGrid w:val="0"/>
        <w:spacing w:line="360" w:lineRule="auto"/>
        <w:ind w:firstLine="600" w:firstLineChars="200"/>
        <w:rPr>
          <w:rFonts w:ascii="仿宋" w:eastAsia="仿宋"/>
          <w:color w:val="000000"/>
          <w:sz w:val="30"/>
          <w:szCs w:val="30"/>
        </w:rPr>
      </w:pPr>
      <w:r>
        <w:rPr>
          <w:rFonts w:hint="eastAsia" w:ascii="仿宋" w:eastAsia="仿宋"/>
          <w:color w:val="000000"/>
          <w:sz w:val="30"/>
          <w:szCs w:val="30"/>
        </w:rPr>
        <w:t>会议时间：202</w:t>
      </w:r>
      <w:r>
        <w:rPr>
          <w:rFonts w:hint="eastAsia" w:ascii="仿宋" w:eastAsia="仿宋"/>
          <w:color w:val="000000"/>
          <w:sz w:val="30"/>
          <w:szCs w:val="30"/>
          <w:lang w:val="en-US" w:eastAsia="zh-CN"/>
        </w:rPr>
        <w:t>1</w:t>
      </w:r>
      <w:r>
        <w:rPr>
          <w:rFonts w:hint="eastAsia" w:ascii="仿宋" w:eastAsia="仿宋"/>
          <w:color w:val="000000"/>
          <w:sz w:val="30"/>
          <w:szCs w:val="30"/>
        </w:rPr>
        <w:t>年</w:t>
      </w:r>
      <w:r>
        <w:rPr>
          <w:rFonts w:ascii="仿宋" w:eastAsia="仿宋"/>
          <w:color w:val="000000"/>
          <w:sz w:val="30"/>
          <w:szCs w:val="30"/>
        </w:rPr>
        <w:t>1</w:t>
      </w:r>
      <w:r>
        <w:rPr>
          <w:rFonts w:hint="eastAsia" w:ascii="仿宋" w:eastAsia="仿宋"/>
          <w:color w:val="000000"/>
          <w:sz w:val="30"/>
          <w:szCs w:val="30"/>
          <w:lang w:val="en-US" w:eastAsia="zh-CN"/>
        </w:rPr>
        <w:t>1</w:t>
      </w:r>
      <w:r>
        <w:rPr>
          <w:rFonts w:hint="eastAsia" w:ascii="仿宋" w:eastAsia="仿宋"/>
          <w:color w:val="000000"/>
          <w:sz w:val="30"/>
          <w:szCs w:val="30"/>
        </w:rPr>
        <w:t>月1</w:t>
      </w:r>
      <w:r>
        <w:rPr>
          <w:rFonts w:hint="eastAsia" w:ascii="仿宋" w:eastAsia="仿宋"/>
          <w:color w:val="000000"/>
          <w:sz w:val="30"/>
          <w:szCs w:val="30"/>
          <w:lang w:val="en-US" w:eastAsia="zh-CN"/>
        </w:rPr>
        <w:t>1</w:t>
      </w:r>
      <w:r>
        <w:rPr>
          <w:rFonts w:hint="eastAsia" w:ascii="仿宋" w:eastAsia="仿宋"/>
          <w:color w:val="000000"/>
          <w:sz w:val="30"/>
          <w:szCs w:val="30"/>
        </w:rPr>
        <w:t>日~1</w:t>
      </w:r>
      <w:r>
        <w:rPr>
          <w:rFonts w:hint="eastAsia" w:ascii="仿宋" w:eastAsia="仿宋"/>
          <w:color w:val="000000"/>
          <w:sz w:val="30"/>
          <w:szCs w:val="30"/>
          <w:lang w:val="en-US" w:eastAsia="zh-CN"/>
        </w:rPr>
        <w:t>2</w:t>
      </w:r>
      <w:r>
        <w:rPr>
          <w:rFonts w:hint="eastAsia" w:ascii="仿宋" w:eastAsia="仿宋"/>
          <w:color w:val="000000"/>
          <w:sz w:val="30"/>
          <w:szCs w:val="30"/>
        </w:rPr>
        <w:t>日</w:t>
      </w:r>
    </w:p>
    <w:p>
      <w:pPr>
        <w:snapToGrid w:val="0"/>
        <w:spacing w:line="360" w:lineRule="auto"/>
        <w:ind w:left="602" w:hanging="602" w:hangingChars="200"/>
        <w:rPr>
          <w:rFonts w:ascii="仿宋" w:eastAsia="仿宋"/>
          <w:b/>
          <w:sz w:val="30"/>
          <w:szCs w:val="30"/>
        </w:rPr>
      </w:pPr>
      <w:r>
        <w:rPr>
          <w:rFonts w:hint="eastAsia" w:ascii="仿宋" w:eastAsia="仿宋"/>
          <w:b/>
          <w:sz w:val="30"/>
          <w:szCs w:val="30"/>
        </w:rPr>
        <w:t>二、缴费及说明</w:t>
      </w:r>
    </w:p>
    <w:p>
      <w:pPr>
        <w:snapToGrid w:val="0"/>
        <w:spacing w:line="300" w:lineRule="auto"/>
        <w:ind w:firstLine="696" w:firstLineChars="231"/>
        <w:rPr>
          <w:rFonts w:ascii="仿宋" w:eastAsia="仿宋"/>
          <w:b/>
          <w:color w:val="000000"/>
          <w:sz w:val="30"/>
          <w:szCs w:val="30"/>
        </w:rPr>
      </w:pPr>
      <w:r>
        <w:rPr>
          <w:rFonts w:hint="eastAsia" w:ascii="仿宋" w:eastAsia="仿宋"/>
          <w:b/>
          <w:color w:val="000000"/>
          <w:sz w:val="30"/>
          <w:szCs w:val="30"/>
        </w:rPr>
        <w:t>1、会议注册费：</w:t>
      </w:r>
      <w:r>
        <w:rPr>
          <w:rFonts w:hint="eastAsia" w:ascii="仿宋" w:eastAsia="仿宋"/>
          <w:b/>
          <w:sz w:val="30"/>
          <w:szCs w:val="30"/>
        </w:rPr>
        <w:t xml:space="preserve"> 2</w:t>
      </w:r>
      <w:r>
        <w:rPr>
          <w:rFonts w:ascii="仿宋" w:eastAsia="仿宋"/>
          <w:b/>
          <w:sz w:val="30"/>
          <w:szCs w:val="30"/>
        </w:rPr>
        <w:t>5</w:t>
      </w:r>
      <w:r>
        <w:rPr>
          <w:rFonts w:hint="eastAsia" w:ascii="仿宋" w:eastAsia="仿宋"/>
          <w:b/>
          <w:sz w:val="30"/>
          <w:szCs w:val="30"/>
        </w:rPr>
        <w:t>00元/人；</w:t>
      </w:r>
    </w:p>
    <w:p>
      <w:pPr>
        <w:snapToGrid w:val="0"/>
        <w:spacing w:line="300" w:lineRule="auto"/>
        <w:ind w:left="988"/>
        <w:rPr>
          <w:rFonts w:ascii="仿宋" w:eastAsia="仿宋"/>
          <w:color w:val="000000"/>
          <w:sz w:val="30"/>
          <w:szCs w:val="30"/>
        </w:rPr>
      </w:pPr>
      <w:r>
        <w:rPr>
          <w:rFonts w:hint="eastAsia" w:ascii="仿宋" w:eastAsia="仿宋"/>
          <w:color w:val="000000"/>
          <w:sz w:val="30"/>
          <w:szCs w:val="30"/>
        </w:rPr>
        <w:t>含：</w:t>
      </w:r>
      <w:r>
        <w:rPr>
          <w:rFonts w:hint="eastAsia" w:ascii="仿宋" w:eastAsia="仿宋"/>
          <w:sz w:val="30"/>
          <w:szCs w:val="30"/>
        </w:rPr>
        <w:t>会议</w:t>
      </w:r>
      <w:r>
        <w:rPr>
          <w:rFonts w:hint="eastAsia" w:ascii="仿宋" w:eastAsia="仿宋"/>
          <w:color w:val="000000"/>
          <w:sz w:val="30"/>
          <w:szCs w:val="30"/>
        </w:rPr>
        <w:t>资料、茶歇、餐饮等费用；</w:t>
      </w:r>
    </w:p>
    <w:p>
      <w:pPr>
        <w:snapToGrid w:val="0"/>
        <w:spacing w:line="300" w:lineRule="auto"/>
        <w:ind w:left="988"/>
        <w:rPr>
          <w:rFonts w:ascii="仿宋" w:eastAsia="仿宋"/>
          <w:color w:val="000000"/>
          <w:sz w:val="30"/>
          <w:szCs w:val="30"/>
        </w:rPr>
      </w:pPr>
      <w:r>
        <w:rPr>
          <w:rFonts w:hint="eastAsia" w:ascii="仿宋" w:eastAsia="仿宋"/>
          <w:color w:val="000000"/>
          <w:sz w:val="30"/>
          <w:szCs w:val="30"/>
        </w:rPr>
        <w:t>不含：住宿、交通费,会议期间个人额外的开支；</w:t>
      </w:r>
    </w:p>
    <w:p>
      <w:pPr>
        <w:snapToGrid w:val="0"/>
        <w:spacing w:line="300" w:lineRule="auto"/>
        <w:ind w:firstLine="753" w:firstLineChars="250"/>
        <w:rPr>
          <w:rFonts w:ascii="仿宋" w:eastAsia="仿宋"/>
          <w:b/>
          <w:color w:val="000000"/>
          <w:sz w:val="30"/>
          <w:szCs w:val="30"/>
        </w:rPr>
      </w:pPr>
      <w:r>
        <w:rPr>
          <w:rFonts w:hint="eastAsia" w:ascii="仿宋" w:eastAsia="仿宋"/>
          <w:b/>
          <w:color w:val="000000"/>
          <w:sz w:val="30"/>
          <w:szCs w:val="30"/>
        </w:rPr>
        <w:t>2、会议收款账户信息：</w:t>
      </w:r>
    </w:p>
    <w:p>
      <w:pPr>
        <w:snapToGrid w:val="0"/>
        <w:spacing w:line="300" w:lineRule="auto"/>
        <w:ind w:left="988"/>
        <w:rPr>
          <w:rFonts w:ascii="仿宋" w:eastAsia="仿宋"/>
          <w:color w:val="000000"/>
          <w:sz w:val="30"/>
          <w:szCs w:val="30"/>
        </w:rPr>
      </w:pPr>
      <w:r>
        <w:rPr>
          <w:rFonts w:hint="eastAsia" w:ascii="仿宋" w:eastAsia="仿宋"/>
          <w:color w:val="000000"/>
          <w:sz w:val="30"/>
          <w:szCs w:val="30"/>
        </w:rPr>
        <w:t>公司名称：海南优拜生物技术有限公司</w:t>
      </w:r>
    </w:p>
    <w:p>
      <w:pPr>
        <w:snapToGrid w:val="0"/>
        <w:spacing w:line="300" w:lineRule="auto"/>
        <w:ind w:left="988"/>
        <w:rPr>
          <w:rFonts w:ascii="仿宋" w:eastAsia="仿宋"/>
          <w:color w:val="000000"/>
          <w:sz w:val="30"/>
          <w:szCs w:val="30"/>
        </w:rPr>
      </w:pPr>
      <w:r>
        <w:rPr>
          <w:rFonts w:hint="eastAsia" w:ascii="仿宋" w:eastAsia="仿宋"/>
          <w:color w:val="000000"/>
          <w:sz w:val="30"/>
          <w:szCs w:val="30"/>
        </w:rPr>
        <w:t>开户银行：中国工商银行股份有限公司定安支行</w:t>
      </w:r>
    </w:p>
    <w:p>
      <w:pPr>
        <w:snapToGrid w:val="0"/>
        <w:spacing w:line="300" w:lineRule="auto"/>
        <w:ind w:left="988"/>
        <w:rPr>
          <w:rFonts w:ascii="仿宋" w:eastAsia="仿宋"/>
          <w:color w:val="000000"/>
          <w:sz w:val="30"/>
          <w:szCs w:val="30"/>
        </w:rPr>
      </w:pPr>
      <w:r>
        <w:rPr>
          <w:rFonts w:hint="eastAsia" w:ascii="仿宋" w:eastAsia="仿宋"/>
          <w:color w:val="000000"/>
          <w:sz w:val="30"/>
          <w:szCs w:val="30"/>
        </w:rPr>
        <w:t>账户：2201 0256 0920 0053 269</w:t>
      </w:r>
    </w:p>
    <w:p>
      <w:pPr>
        <w:snapToGrid w:val="0"/>
        <w:spacing w:line="300" w:lineRule="auto"/>
        <w:ind w:left="988"/>
        <w:rPr>
          <w:rFonts w:ascii="仿宋" w:hAnsi="仿宋" w:eastAsia="仿宋"/>
          <w:b/>
          <w:color w:val="000000" w:themeColor="text1"/>
          <w:sz w:val="30"/>
          <w:szCs w:val="30"/>
        </w:rPr>
      </w:pPr>
      <w:r>
        <w:rPr>
          <w:rFonts w:hint="eastAsia" w:ascii="仿宋" w:eastAsia="仿宋"/>
          <w:b/>
          <w:color w:val="000000" w:themeColor="text1"/>
          <w:sz w:val="30"/>
          <w:szCs w:val="30"/>
        </w:rPr>
        <w:t>备注:汇款请注明</w:t>
      </w:r>
      <w:r>
        <w:rPr>
          <w:rFonts w:ascii="仿宋" w:hAnsi="仿宋" w:eastAsia="仿宋"/>
          <w:b/>
          <w:color w:val="000000" w:themeColor="text1"/>
          <w:sz w:val="30"/>
          <w:szCs w:val="30"/>
        </w:rPr>
        <w:t>“</w:t>
      </w:r>
      <w:r>
        <w:rPr>
          <w:rFonts w:hint="eastAsia" w:ascii="仿宋" w:hAnsi="仿宋" w:eastAsia="仿宋"/>
          <w:b/>
          <w:color w:val="000000" w:themeColor="text1"/>
          <w:sz w:val="30"/>
          <w:szCs w:val="30"/>
        </w:rPr>
        <w:t>202</w:t>
      </w:r>
      <w:r>
        <w:rPr>
          <w:rFonts w:hint="eastAsia" w:ascii="仿宋" w:hAnsi="仿宋" w:eastAsia="仿宋"/>
          <w:b/>
          <w:color w:val="000000" w:themeColor="text1"/>
          <w:sz w:val="30"/>
          <w:szCs w:val="30"/>
          <w:lang w:val="en-US" w:eastAsia="zh-CN"/>
        </w:rPr>
        <w:t>1</w:t>
      </w:r>
      <w:r>
        <w:rPr>
          <w:rFonts w:hint="eastAsia" w:ascii="仿宋" w:hAnsi="仿宋" w:eastAsia="仿宋"/>
          <w:b/>
          <w:color w:val="000000" w:themeColor="text1"/>
          <w:sz w:val="30"/>
          <w:szCs w:val="30"/>
        </w:rPr>
        <w:t>年多肽会议</w:t>
      </w:r>
      <w:r>
        <w:rPr>
          <w:rFonts w:ascii="仿宋" w:hAnsi="仿宋" w:eastAsia="仿宋"/>
          <w:b/>
          <w:color w:val="000000" w:themeColor="text1"/>
          <w:sz w:val="30"/>
          <w:szCs w:val="30"/>
        </w:rPr>
        <w:t>”</w:t>
      </w:r>
    </w:p>
    <w:p>
      <w:pPr>
        <w:snapToGrid w:val="0"/>
        <w:spacing w:line="300" w:lineRule="auto"/>
        <w:ind w:left="745" w:leftChars="355"/>
        <w:rPr>
          <w:rFonts w:ascii="仿宋" w:eastAsia="仿宋"/>
          <w:b/>
          <w:color w:val="000000"/>
          <w:sz w:val="30"/>
          <w:szCs w:val="30"/>
        </w:rPr>
      </w:pPr>
      <w:r>
        <w:rPr>
          <w:rFonts w:hint="eastAsia" w:ascii="仿宋" w:eastAsia="仿宋"/>
          <w:b/>
          <w:color w:val="000000"/>
          <w:sz w:val="30"/>
          <w:szCs w:val="30"/>
        </w:rPr>
        <w:t>3、缴费形式：</w:t>
      </w:r>
    </w:p>
    <w:p>
      <w:pPr>
        <w:snapToGrid w:val="0"/>
        <w:spacing w:line="300" w:lineRule="auto"/>
        <w:ind w:left="895" w:leftChars="426"/>
        <w:rPr>
          <w:rFonts w:ascii="仿宋" w:eastAsia="仿宋"/>
          <w:color w:val="000000"/>
          <w:sz w:val="30"/>
          <w:szCs w:val="30"/>
        </w:rPr>
      </w:pPr>
      <w:r>
        <w:rPr>
          <w:rFonts w:hint="eastAsia" w:ascii="仿宋" w:eastAsia="仿宋"/>
          <w:color w:val="000000"/>
          <w:sz w:val="30"/>
          <w:szCs w:val="30"/>
        </w:rPr>
        <w:t>支持公对公转账，现场支持刷卡，为便于报到时领取发票请提前转账，发票为会议费增值税</w:t>
      </w:r>
      <w:r>
        <w:rPr>
          <w:rFonts w:hint="eastAsia" w:ascii="仿宋" w:eastAsia="仿宋"/>
          <w:color w:val="000000"/>
          <w:sz w:val="30"/>
          <w:szCs w:val="30"/>
          <w:lang w:val="en-US" w:eastAsia="zh-CN"/>
        </w:rPr>
        <w:t>专用/</w:t>
      </w:r>
      <w:r>
        <w:rPr>
          <w:rFonts w:hint="eastAsia" w:ascii="仿宋" w:eastAsia="仿宋"/>
          <w:color w:val="000000"/>
          <w:sz w:val="30"/>
          <w:szCs w:val="30"/>
        </w:rPr>
        <w:t>普通发票。</w:t>
      </w:r>
    </w:p>
    <w:p>
      <w:pPr>
        <w:snapToGrid w:val="0"/>
        <w:spacing w:line="300" w:lineRule="auto"/>
        <w:ind w:firstLine="696" w:firstLineChars="231"/>
        <w:rPr>
          <w:rFonts w:ascii="仿宋" w:eastAsia="仿宋"/>
          <w:b/>
          <w:color w:val="000000"/>
          <w:sz w:val="30"/>
          <w:szCs w:val="30"/>
        </w:rPr>
      </w:pPr>
      <w:r>
        <w:rPr>
          <w:rFonts w:hint="eastAsia" w:ascii="仿宋" w:eastAsia="仿宋"/>
          <w:b/>
          <w:color w:val="000000"/>
          <w:sz w:val="30"/>
          <w:szCs w:val="30"/>
        </w:rPr>
        <w:t>4、会议联系人及联络方式：</w:t>
      </w:r>
    </w:p>
    <w:p>
      <w:pPr>
        <w:snapToGrid w:val="0"/>
        <w:spacing w:line="300" w:lineRule="auto"/>
        <w:ind w:firstLine="900" w:firstLineChars="300"/>
        <w:rPr>
          <w:rFonts w:ascii="仿宋" w:eastAsia="仿宋"/>
          <w:color w:val="000000"/>
          <w:sz w:val="30"/>
          <w:szCs w:val="30"/>
        </w:rPr>
      </w:pPr>
      <w:r>
        <w:rPr>
          <w:rFonts w:hint="eastAsia" w:ascii="仿宋" w:eastAsia="仿宋"/>
          <w:color w:val="000000"/>
          <w:sz w:val="30"/>
          <w:szCs w:val="30"/>
        </w:rPr>
        <w:t>总负责人:李永纲(13876007274)</w:t>
      </w:r>
    </w:p>
    <w:p>
      <w:pPr>
        <w:snapToGrid w:val="0"/>
        <w:spacing w:line="300" w:lineRule="auto"/>
        <w:ind w:left="945" w:leftChars="450"/>
        <w:rPr>
          <w:rFonts w:ascii="仿宋" w:eastAsia="仿宋"/>
          <w:color w:val="000000"/>
          <w:sz w:val="30"/>
          <w:szCs w:val="30"/>
        </w:rPr>
      </w:pPr>
      <w:r>
        <w:rPr>
          <w:rFonts w:hint="eastAsia" w:ascii="仿宋" w:eastAsia="仿宋"/>
          <w:color w:val="000000"/>
          <w:sz w:val="30"/>
          <w:szCs w:val="30"/>
        </w:rPr>
        <w:t>参展联系人：王芳芳(13700434120本次会议设有少量展位，如有意向者可联系)</w:t>
      </w:r>
    </w:p>
    <w:p>
      <w:pPr>
        <w:snapToGrid w:val="0"/>
        <w:spacing w:line="300" w:lineRule="auto"/>
        <w:ind w:firstLine="1050" w:firstLineChars="350"/>
        <w:rPr>
          <w:rFonts w:ascii="仿宋" w:eastAsia="仿宋"/>
          <w:color w:val="000000"/>
          <w:sz w:val="30"/>
          <w:szCs w:val="30"/>
        </w:rPr>
      </w:pPr>
      <w:r>
        <w:rPr>
          <w:rFonts w:hint="eastAsia" w:ascii="仿宋" w:eastAsia="仿宋"/>
          <w:color w:val="000000"/>
          <w:sz w:val="30"/>
          <w:szCs w:val="30"/>
        </w:rPr>
        <w:t>注册联系人：陈明子（</w:t>
      </w:r>
      <w:r>
        <w:rPr>
          <w:rFonts w:ascii="仿宋" w:eastAsia="仿宋"/>
          <w:color w:val="000000"/>
          <w:sz w:val="30"/>
          <w:szCs w:val="30"/>
        </w:rPr>
        <w:t>13307626901</w:t>
      </w:r>
      <w:r>
        <w:rPr>
          <w:rFonts w:hint="eastAsia" w:ascii="仿宋" w:eastAsia="仿宋"/>
          <w:color w:val="000000"/>
          <w:sz w:val="30"/>
          <w:szCs w:val="30"/>
        </w:rPr>
        <w:t xml:space="preserve"> 附报名回执表)</w:t>
      </w:r>
    </w:p>
    <w:p>
      <w:pPr>
        <w:snapToGrid w:val="0"/>
        <w:spacing w:line="300" w:lineRule="auto"/>
        <w:rPr>
          <w:rFonts w:ascii="仿宋" w:eastAsia="仿宋"/>
          <w:b/>
          <w:color w:val="000000"/>
          <w:sz w:val="30"/>
          <w:szCs w:val="30"/>
        </w:rPr>
      </w:pPr>
      <w:r>
        <w:rPr>
          <w:rFonts w:hint="eastAsia" w:ascii="仿宋" w:eastAsia="仿宋"/>
          <w:b/>
          <w:color w:val="000000"/>
          <w:sz w:val="30"/>
          <w:szCs w:val="30"/>
        </w:rPr>
        <w:t>三、信息反馈</w:t>
      </w:r>
    </w:p>
    <w:p>
      <w:pPr>
        <w:snapToGrid w:val="0"/>
        <w:spacing w:line="300" w:lineRule="auto"/>
        <w:ind w:firstLine="600" w:firstLineChars="200"/>
        <w:rPr>
          <w:rFonts w:ascii="仿宋" w:eastAsia="仿宋"/>
          <w:color w:val="000000"/>
          <w:sz w:val="30"/>
          <w:szCs w:val="30"/>
        </w:rPr>
      </w:pPr>
      <w:r>
        <w:rPr>
          <w:rFonts w:hint="eastAsia" w:ascii="仿宋" w:eastAsia="仿宋"/>
          <w:color w:val="000000"/>
          <w:sz w:val="30"/>
          <w:szCs w:val="30"/>
        </w:rPr>
        <w:t>请参会人员于202</w:t>
      </w:r>
      <w:r>
        <w:rPr>
          <w:rFonts w:hint="eastAsia" w:ascii="仿宋" w:eastAsia="仿宋"/>
          <w:color w:val="000000"/>
          <w:sz w:val="30"/>
          <w:szCs w:val="30"/>
          <w:lang w:val="en-US" w:eastAsia="zh-CN"/>
        </w:rPr>
        <w:t>1</w:t>
      </w:r>
      <w:r>
        <w:rPr>
          <w:rFonts w:hint="eastAsia" w:ascii="仿宋" w:eastAsia="仿宋"/>
          <w:color w:val="000000"/>
          <w:sz w:val="30"/>
          <w:szCs w:val="30"/>
        </w:rPr>
        <w:t>年1</w:t>
      </w:r>
      <w:r>
        <w:rPr>
          <w:rFonts w:hint="eastAsia" w:ascii="仿宋" w:eastAsia="仿宋"/>
          <w:color w:val="000000"/>
          <w:sz w:val="30"/>
          <w:szCs w:val="30"/>
          <w:lang w:val="en-US" w:eastAsia="zh-CN"/>
        </w:rPr>
        <w:t>0</w:t>
      </w:r>
      <w:r>
        <w:rPr>
          <w:rFonts w:hint="eastAsia" w:ascii="仿宋" w:eastAsia="仿宋"/>
          <w:color w:val="000000"/>
          <w:sz w:val="30"/>
          <w:szCs w:val="30"/>
        </w:rPr>
        <w:t>月30日17：00前将《报名回执表》通过邮件反馈至会议指定负责人。</w:t>
      </w:r>
    </w:p>
    <w:p>
      <w:pPr>
        <w:snapToGrid w:val="0"/>
        <w:spacing w:line="300" w:lineRule="auto"/>
        <w:ind w:firstLine="482" w:firstLineChars="200"/>
        <w:rPr>
          <w:rFonts w:ascii="仿宋" w:eastAsia="仿宋"/>
          <w:b/>
          <w:bCs/>
          <w:color w:val="FF0000"/>
          <w:sz w:val="24"/>
          <w:szCs w:val="24"/>
        </w:rPr>
      </w:pPr>
      <w:r>
        <w:rPr>
          <w:rFonts w:hint="eastAsia" w:ascii="仿宋" w:eastAsia="仿宋"/>
          <w:b/>
          <w:color w:val="FF0000"/>
          <w:sz w:val="24"/>
          <w:szCs w:val="24"/>
        </w:rPr>
        <w:t>由于会议期间属于海南旅游旺季，进岛机票、酒店房间非常紧张，请各贵宾</w:t>
      </w:r>
      <w:r>
        <w:rPr>
          <w:rFonts w:ascii="仿宋" w:eastAsia="仿宋"/>
          <w:b/>
          <w:color w:val="FF0000"/>
          <w:sz w:val="24"/>
          <w:szCs w:val="24"/>
        </w:rPr>
        <w:t>尽量</w:t>
      </w:r>
      <w:r>
        <w:rPr>
          <w:rFonts w:hint="eastAsia" w:ascii="仿宋" w:eastAsia="仿宋"/>
          <w:b/>
          <w:color w:val="FF0000"/>
          <w:sz w:val="24"/>
          <w:szCs w:val="24"/>
        </w:rPr>
        <w:t>提早订票，同时按照要求及时、准确反馈回执表内各项信</w:t>
      </w:r>
      <w:r>
        <w:rPr>
          <w:rFonts w:hint="eastAsia" w:ascii="仿宋" w:eastAsia="仿宋"/>
          <w:b/>
          <w:bCs/>
          <w:color w:val="FF0000"/>
          <w:sz w:val="24"/>
          <w:szCs w:val="24"/>
        </w:rPr>
        <w:t>息，如因信息反馈错误或不及时所产生的后果自行承担。</w:t>
      </w:r>
    </w:p>
    <w:p>
      <w:pPr>
        <w:spacing w:line="300" w:lineRule="auto"/>
        <w:rPr>
          <w:rFonts w:ascii="仿宋" w:eastAsia="仿宋"/>
          <w:b/>
          <w:sz w:val="32"/>
          <w:szCs w:val="32"/>
        </w:rPr>
      </w:pPr>
      <w:r>
        <w:rPr>
          <w:rFonts w:hint="eastAsia" w:ascii="仿宋" w:eastAsia="仿宋"/>
          <w:b/>
          <w:sz w:val="32"/>
          <w:szCs w:val="32"/>
        </w:rPr>
        <w:t>附件2：</w:t>
      </w:r>
    </w:p>
    <w:p>
      <w:pPr>
        <w:jc w:val="center"/>
        <w:rPr>
          <w:rFonts w:ascii="仿宋" w:eastAsia="仿宋"/>
          <w:b/>
          <w:sz w:val="32"/>
          <w:szCs w:val="32"/>
        </w:rPr>
      </w:pPr>
      <w:r>
        <w:rPr>
          <w:rFonts w:hint="eastAsia" w:ascii="仿宋" w:eastAsia="仿宋"/>
          <w:b/>
          <w:sz w:val="32"/>
          <w:szCs w:val="32"/>
        </w:rPr>
        <w:t>酒店地址及交通信息</w:t>
      </w:r>
    </w:p>
    <w:p>
      <w:pPr>
        <w:spacing w:line="360" w:lineRule="auto"/>
        <w:rPr>
          <w:rFonts w:ascii="仿宋" w:eastAsia="仿宋"/>
          <w:sz w:val="32"/>
          <w:szCs w:val="32"/>
        </w:rPr>
      </w:pPr>
      <w:r>
        <w:rPr>
          <w:rFonts w:hint="eastAsia" w:ascii="仿宋" w:eastAsia="仿宋"/>
          <w:sz w:val="32"/>
          <w:szCs w:val="32"/>
        </w:rPr>
        <w:t>酒店地址：海南省三亚市海棠湾度假区</w:t>
      </w:r>
    </w:p>
    <w:p>
      <w:pPr>
        <w:spacing w:line="360" w:lineRule="auto"/>
        <w:rPr>
          <w:rFonts w:ascii="仿宋" w:eastAsia="仿宋"/>
          <w:sz w:val="32"/>
          <w:szCs w:val="32"/>
        </w:rPr>
      </w:pPr>
      <w:r>
        <w:rPr>
          <w:rFonts w:hint="eastAsia" w:ascii="仿宋" w:eastAsia="仿宋"/>
          <w:sz w:val="32"/>
          <w:szCs w:val="32"/>
        </w:rPr>
        <w:t>酒店名称：三亚海棠湾喜来登度假酒店</w:t>
      </w:r>
    </w:p>
    <w:p>
      <w:pPr>
        <w:widowControl/>
        <w:rPr>
          <w:rFonts w:ascii="仿宋" w:eastAsia="仿宋"/>
          <w:sz w:val="24"/>
          <w:szCs w:val="24"/>
        </w:rPr>
      </w:pPr>
      <w:r>
        <w:rPr>
          <w:rFonts w:ascii="仿宋" w:eastAsia="仿宋"/>
          <w:sz w:val="24"/>
          <w:szCs w:val="24"/>
        </w:rPr>
        <w:drawing>
          <wp:inline distT="0" distB="0" distL="0" distR="0">
            <wp:extent cx="5991860" cy="4455795"/>
            <wp:effectExtent l="19050" t="0" r="8585" b="0"/>
            <wp:docPr id="28" name="图片 3" descr="C:\Users\王芳芳\Documents\Tencent Files\422415419\Image\C2C\A9}0Y{E~[D~ZP`83O[(H}A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C:\Users\王芳芳\Documents\Tencent Files\422415419\Image\C2C\A9}0Y{E~[D~ZP`83O[(H}AX.png"/>
                    <pic:cNvPicPr>
                      <a:picLocks noChangeAspect="1" noChangeArrowheads="1"/>
                    </pic:cNvPicPr>
                  </pic:nvPicPr>
                  <pic:blipFill>
                    <a:blip r:embed="rId7"/>
                    <a:srcRect/>
                    <a:stretch>
                      <a:fillRect/>
                    </a:stretch>
                  </pic:blipFill>
                  <pic:spPr>
                    <a:xfrm>
                      <a:off x="0" y="0"/>
                      <a:ext cx="5994400" cy="4457915"/>
                    </a:xfrm>
                    <a:prstGeom prst="rect">
                      <a:avLst/>
                    </a:prstGeom>
                    <a:noFill/>
                    <a:ln w="9525">
                      <a:noFill/>
                      <a:miter lim="800000"/>
                      <a:headEnd/>
                      <a:tailEnd/>
                    </a:ln>
                  </pic:spPr>
                </pic:pic>
              </a:graphicData>
            </a:graphic>
          </wp:inline>
        </w:drawing>
      </w:r>
    </w:p>
    <w:p>
      <w:pPr>
        <w:snapToGrid w:val="0"/>
        <w:spacing w:line="300" w:lineRule="auto"/>
        <w:rPr>
          <w:rFonts w:ascii="仿宋" w:eastAsia="仿宋"/>
          <w:sz w:val="32"/>
          <w:szCs w:val="32"/>
        </w:rPr>
      </w:pPr>
      <w:r>
        <w:rPr>
          <w:rFonts w:hint="eastAsia" w:ascii="仿宋" w:eastAsia="仿宋"/>
          <w:sz w:val="32"/>
          <w:szCs w:val="32"/>
        </w:rPr>
        <w:t>交通信息：</w:t>
      </w:r>
    </w:p>
    <w:p>
      <w:pPr>
        <w:snapToGrid w:val="0"/>
        <w:spacing w:line="300" w:lineRule="auto"/>
        <w:rPr>
          <w:rFonts w:ascii="仿宋" w:eastAsia="仿宋"/>
          <w:sz w:val="32"/>
          <w:szCs w:val="32"/>
        </w:rPr>
      </w:pPr>
      <w:r>
        <w:rPr>
          <w:rFonts w:hint="eastAsia" w:ascii="仿宋" w:eastAsia="仿宋"/>
          <w:sz w:val="32"/>
          <w:szCs w:val="32"/>
        </w:rPr>
        <w:t>1、会议提供接机服务：</w:t>
      </w:r>
    </w:p>
    <w:p>
      <w:pPr>
        <w:shd w:val="clear" w:color="auto" w:fill="FFFFFF"/>
        <w:snapToGrid w:val="0"/>
        <w:spacing w:line="360" w:lineRule="auto"/>
        <w:ind w:firstLine="510"/>
        <w:rPr>
          <w:rFonts w:ascii="仿宋" w:eastAsia="仿宋"/>
          <w:sz w:val="32"/>
          <w:szCs w:val="32"/>
        </w:rPr>
      </w:pPr>
      <w:r>
        <w:rPr>
          <w:rFonts w:ascii="仿宋" w:eastAsia="仿宋"/>
          <w:sz w:val="24"/>
          <w:szCs w:val="24"/>
        </w:rPr>
        <w:pict>
          <v:shape id="_x0000_s1033" o:spid="_x0000_s1033" o:spt="32" type="#_x0000_t32" style="position:absolute;left:0pt;margin-left:176.6pt;margin-top:11.8pt;height:0.05pt;width:45.75pt;z-index:251670528;mso-width-relative:page;mso-height-relative:page;" o:connectortype="straight" filled="f" coordsize="21600,21600">
            <v:path arrowok="t"/>
            <v:fill on="f" focussize="0,0"/>
            <v:stroke endarrow="block"/>
            <v:imagedata o:title=""/>
            <o:lock v:ext="edit"/>
          </v:shape>
        </w:pict>
      </w:r>
      <w:r>
        <w:rPr>
          <w:rFonts w:hint="eastAsia" w:ascii="仿宋" w:eastAsia="仿宋"/>
          <w:sz w:val="32"/>
          <w:szCs w:val="32"/>
        </w:rPr>
        <w:t>机场：三亚凤凰机场       海棠湾喜来登酒店</w:t>
      </w:r>
    </w:p>
    <w:p>
      <w:pPr>
        <w:shd w:val="clear" w:color="auto" w:fill="FFFFFF"/>
        <w:snapToGrid w:val="0"/>
        <w:spacing w:line="360" w:lineRule="auto"/>
        <w:ind w:firstLine="510"/>
        <w:rPr>
          <w:rFonts w:ascii="仿宋" w:eastAsia="仿宋"/>
          <w:sz w:val="32"/>
          <w:szCs w:val="32"/>
        </w:rPr>
      </w:pPr>
      <w:r>
        <w:rPr>
          <w:rFonts w:ascii="仿宋" w:eastAsia="仿宋"/>
          <w:sz w:val="32"/>
          <w:szCs w:val="32"/>
        </w:rPr>
        <w:pict>
          <v:shape id="_x0000_s1034" o:spid="_x0000_s1034" o:spt="32" type="#_x0000_t32" style="position:absolute;left:0pt;margin-left:201.35pt;margin-top:10.65pt;height:0pt;width:45.75pt;z-index:251671552;mso-width-relative:page;mso-height-relative:page;" o:connectortype="straight" filled="f" coordsize="21600,21600">
            <v:path arrowok="t"/>
            <v:fill on="f" focussize="0,0"/>
            <v:stroke endarrow="block"/>
            <v:imagedata o:title=""/>
            <o:lock v:ext="edit"/>
          </v:shape>
        </w:pict>
      </w:r>
      <w:r>
        <w:rPr>
          <w:rFonts w:hint="eastAsia" w:ascii="仿宋" w:eastAsia="仿宋"/>
          <w:sz w:val="32"/>
          <w:szCs w:val="32"/>
        </w:rPr>
        <w:t>高铁：三亚站/亚龙湾站       海棠湾喜来登酒店</w:t>
      </w:r>
    </w:p>
    <w:p>
      <w:pPr>
        <w:shd w:val="clear" w:color="auto" w:fill="FFFFFF"/>
        <w:snapToGrid w:val="0"/>
        <w:spacing w:line="360" w:lineRule="auto"/>
        <w:ind w:left="320" w:hanging="320" w:hangingChars="100"/>
        <w:rPr>
          <w:rFonts w:ascii="仿宋" w:eastAsia="仿宋"/>
          <w:sz w:val="32"/>
          <w:szCs w:val="32"/>
        </w:rPr>
      </w:pPr>
      <w:r>
        <w:rPr>
          <w:rFonts w:hint="eastAsia" w:ascii="仿宋" w:hAnsi="仿宋" w:eastAsia="仿宋"/>
          <w:sz w:val="32"/>
          <w:szCs w:val="32"/>
        </w:rPr>
        <w:t>※</w:t>
      </w:r>
      <w:r>
        <w:rPr>
          <w:rFonts w:hint="eastAsia" w:ascii="仿宋" w:eastAsia="仿宋"/>
          <w:sz w:val="32"/>
          <w:szCs w:val="32"/>
        </w:rPr>
        <w:t>到达海口美兰机场/琼海博鳌机场的参会人员，均可乘坐高铁到三亚站/亚龙湾站。</w:t>
      </w:r>
    </w:p>
    <w:p>
      <w:pPr>
        <w:shd w:val="clear" w:color="auto" w:fill="FFFFFF"/>
        <w:snapToGrid w:val="0"/>
        <w:spacing w:line="360" w:lineRule="auto"/>
        <w:ind w:left="480" w:hanging="480" w:hangingChars="150"/>
        <w:rPr>
          <w:rFonts w:ascii="仿宋" w:eastAsia="仿宋"/>
          <w:b/>
          <w:bCs/>
          <w:color w:val="FF0000"/>
          <w:sz w:val="32"/>
          <w:szCs w:val="32"/>
        </w:rPr>
      </w:pPr>
      <w:r>
        <w:rPr>
          <w:rFonts w:hint="eastAsia" w:ascii="仿宋" w:eastAsia="仿宋"/>
          <w:sz w:val="32"/>
          <w:szCs w:val="32"/>
        </w:rPr>
        <w:t>2、会议期间，会务组安排海棠湾喜来登酒店与海棠湾麓湖度假酒店往返摆渡车。 （具体发车时间以会议手册为准）</w:t>
      </w:r>
    </w:p>
    <w:p>
      <w:pPr>
        <w:rPr>
          <w:rFonts w:ascii="仿宋" w:eastAsia="仿宋"/>
          <w:b/>
          <w:color w:val="000000"/>
          <w:sz w:val="32"/>
          <w:szCs w:val="32"/>
        </w:rPr>
      </w:pPr>
      <w:r>
        <w:rPr>
          <w:rFonts w:hint="eastAsia" w:ascii="仿宋" w:eastAsia="仿宋"/>
          <w:b/>
          <w:color w:val="000000"/>
          <w:sz w:val="32"/>
          <w:szCs w:val="32"/>
        </w:rPr>
        <w:t>附件3：报名回执表</w:t>
      </w:r>
    </w:p>
    <w:p>
      <w:pPr>
        <w:jc w:val="center"/>
        <w:rPr>
          <w:rFonts w:ascii="仿宋" w:eastAsia="仿宋"/>
          <w:b/>
          <w:color w:val="000000"/>
          <w:sz w:val="32"/>
          <w:szCs w:val="32"/>
        </w:rPr>
      </w:pPr>
      <w:r>
        <w:rPr>
          <w:rFonts w:hint="eastAsia" w:ascii="仿宋" w:eastAsia="仿宋"/>
          <w:b/>
          <w:color w:val="000000"/>
          <w:sz w:val="32"/>
          <w:szCs w:val="32"/>
        </w:rPr>
        <w:t>《多肽药物研发及规模化生产前沿技术交流会》报名回执表</w:t>
      </w:r>
    </w:p>
    <w:p>
      <w:pPr>
        <w:jc w:val="center"/>
        <w:rPr>
          <w:rFonts w:ascii="仿宋" w:eastAsia="仿宋"/>
          <w:color w:val="000000"/>
          <w:sz w:val="24"/>
          <w:szCs w:val="24"/>
        </w:rPr>
      </w:pPr>
    </w:p>
    <w:tbl>
      <w:tblPr>
        <w:tblStyle w:val="5"/>
        <w:tblW w:w="95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1284"/>
        <w:gridCol w:w="1843"/>
        <w:gridCol w:w="2268"/>
        <w:gridCol w:w="2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1717" w:type="dxa"/>
            <w:vAlign w:val="center"/>
          </w:tcPr>
          <w:p>
            <w:pPr>
              <w:jc w:val="center"/>
              <w:rPr>
                <w:rFonts w:ascii="仿宋" w:eastAsia="仿宋"/>
                <w:color w:val="000000"/>
                <w:sz w:val="30"/>
                <w:szCs w:val="30"/>
              </w:rPr>
            </w:pPr>
            <w:r>
              <w:rPr>
                <w:rFonts w:hint="eastAsia" w:ascii="仿宋" w:eastAsia="仿宋"/>
                <w:color w:val="000000"/>
                <w:sz w:val="30"/>
                <w:szCs w:val="30"/>
              </w:rPr>
              <w:t>单位名称</w:t>
            </w:r>
          </w:p>
        </w:tc>
        <w:tc>
          <w:tcPr>
            <w:tcW w:w="7856" w:type="dxa"/>
            <w:gridSpan w:val="4"/>
            <w:vAlign w:val="center"/>
          </w:tcPr>
          <w:p>
            <w:pPr>
              <w:jc w:val="center"/>
              <w:rPr>
                <w:rFonts w:ascii="仿宋" w:eastAsia="仿宋"/>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1717" w:type="dxa"/>
            <w:vAlign w:val="center"/>
          </w:tcPr>
          <w:p>
            <w:pPr>
              <w:jc w:val="center"/>
              <w:rPr>
                <w:rFonts w:ascii="仿宋" w:eastAsia="仿宋"/>
                <w:color w:val="000000"/>
                <w:sz w:val="30"/>
                <w:szCs w:val="30"/>
              </w:rPr>
            </w:pPr>
            <w:r>
              <w:rPr>
                <w:rFonts w:hint="eastAsia" w:ascii="仿宋" w:eastAsia="仿宋"/>
                <w:color w:val="000000"/>
                <w:sz w:val="30"/>
                <w:szCs w:val="30"/>
              </w:rPr>
              <w:t>详细地址</w:t>
            </w:r>
          </w:p>
        </w:tc>
        <w:tc>
          <w:tcPr>
            <w:tcW w:w="7856" w:type="dxa"/>
            <w:gridSpan w:val="4"/>
            <w:vAlign w:val="center"/>
          </w:tcPr>
          <w:p>
            <w:pPr>
              <w:jc w:val="center"/>
              <w:rPr>
                <w:rFonts w:ascii="仿宋" w:eastAsia="仿宋"/>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717" w:type="dxa"/>
            <w:vAlign w:val="center"/>
          </w:tcPr>
          <w:p>
            <w:pPr>
              <w:jc w:val="center"/>
              <w:rPr>
                <w:rFonts w:ascii="仿宋" w:eastAsia="仿宋"/>
                <w:color w:val="000000"/>
                <w:sz w:val="30"/>
                <w:szCs w:val="30"/>
              </w:rPr>
            </w:pPr>
            <w:r>
              <w:rPr>
                <w:rFonts w:hint="eastAsia" w:ascii="仿宋" w:eastAsia="仿宋"/>
                <w:color w:val="000000"/>
                <w:sz w:val="30"/>
                <w:szCs w:val="30"/>
              </w:rPr>
              <w:t>姓名</w:t>
            </w:r>
          </w:p>
        </w:tc>
        <w:tc>
          <w:tcPr>
            <w:tcW w:w="1284" w:type="dxa"/>
            <w:vAlign w:val="center"/>
          </w:tcPr>
          <w:p>
            <w:pPr>
              <w:jc w:val="center"/>
              <w:rPr>
                <w:rFonts w:ascii="仿宋" w:eastAsia="仿宋"/>
                <w:color w:val="000000"/>
                <w:sz w:val="30"/>
                <w:szCs w:val="30"/>
              </w:rPr>
            </w:pPr>
            <w:r>
              <w:rPr>
                <w:rFonts w:hint="eastAsia" w:ascii="仿宋" w:eastAsia="仿宋"/>
                <w:color w:val="000000"/>
                <w:sz w:val="30"/>
                <w:szCs w:val="30"/>
              </w:rPr>
              <w:t>性别</w:t>
            </w:r>
          </w:p>
        </w:tc>
        <w:tc>
          <w:tcPr>
            <w:tcW w:w="1843" w:type="dxa"/>
            <w:vAlign w:val="center"/>
          </w:tcPr>
          <w:p>
            <w:pPr>
              <w:jc w:val="center"/>
              <w:rPr>
                <w:rFonts w:ascii="仿宋" w:eastAsia="仿宋"/>
                <w:color w:val="000000"/>
                <w:sz w:val="30"/>
                <w:szCs w:val="30"/>
              </w:rPr>
            </w:pPr>
            <w:r>
              <w:rPr>
                <w:rFonts w:hint="eastAsia" w:ascii="仿宋" w:eastAsia="仿宋"/>
                <w:color w:val="000000"/>
                <w:sz w:val="30"/>
                <w:szCs w:val="30"/>
              </w:rPr>
              <w:t>职务/职称</w:t>
            </w:r>
          </w:p>
        </w:tc>
        <w:tc>
          <w:tcPr>
            <w:tcW w:w="2268" w:type="dxa"/>
            <w:vAlign w:val="center"/>
          </w:tcPr>
          <w:p>
            <w:pPr>
              <w:jc w:val="center"/>
              <w:rPr>
                <w:rFonts w:ascii="仿宋" w:eastAsia="仿宋"/>
                <w:color w:val="000000"/>
                <w:sz w:val="30"/>
                <w:szCs w:val="30"/>
              </w:rPr>
            </w:pPr>
            <w:r>
              <w:rPr>
                <w:rFonts w:hint="eastAsia" w:ascii="仿宋" w:eastAsia="仿宋"/>
                <w:color w:val="000000"/>
                <w:sz w:val="30"/>
                <w:szCs w:val="30"/>
              </w:rPr>
              <w:t>移动电话</w:t>
            </w:r>
          </w:p>
        </w:tc>
        <w:tc>
          <w:tcPr>
            <w:tcW w:w="2461" w:type="dxa"/>
            <w:vAlign w:val="center"/>
          </w:tcPr>
          <w:p>
            <w:pPr>
              <w:jc w:val="center"/>
              <w:rPr>
                <w:rFonts w:ascii="仿宋" w:eastAsia="仿宋"/>
                <w:color w:val="000000"/>
                <w:sz w:val="30"/>
                <w:szCs w:val="30"/>
              </w:rPr>
            </w:pPr>
            <w:r>
              <w:rPr>
                <w:rFonts w:hint="eastAsia" w:ascii="仿宋" w:eastAsia="仿宋"/>
                <w:color w:val="000000"/>
                <w:sz w:val="30"/>
                <w:szCs w:val="30"/>
              </w:rPr>
              <w:t>电子邮箱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717" w:type="dxa"/>
          </w:tcPr>
          <w:p>
            <w:pPr>
              <w:rPr>
                <w:rFonts w:ascii="仿宋" w:eastAsia="仿宋"/>
                <w:color w:val="000000"/>
                <w:sz w:val="30"/>
                <w:szCs w:val="30"/>
              </w:rPr>
            </w:pPr>
          </w:p>
        </w:tc>
        <w:tc>
          <w:tcPr>
            <w:tcW w:w="1284" w:type="dxa"/>
          </w:tcPr>
          <w:p>
            <w:pPr>
              <w:rPr>
                <w:rFonts w:ascii="仿宋" w:eastAsia="仿宋"/>
                <w:color w:val="000000"/>
                <w:sz w:val="30"/>
                <w:szCs w:val="30"/>
              </w:rPr>
            </w:pPr>
          </w:p>
        </w:tc>
        <w:tc>
          <w:tcPr>
            <w:tcW w:w="1843" w:type="dxa"/>
          </w:tcPr>
          <w:p>
            <w:pPr>
              <w:rPr>
                <w:rFonts w:ascii="仿宋" w:eastAsia="仿宋"/>
                <w:color w:val="000000"/>
                <w:sz w:val="30"/>
                <w:szCs w:val="30"/>
              </w:rPr>
            </w:pPr>
          </w:p>
        </w:tc>
        <w:tc>
          <w:tcPr>
            <w:tcW w:w="2268" w:type="dxa"/>
          </w:tcPr>
          <w:p>
            <w:pPr>
              <w:rPr>
                <w:rFonts w:ascii="仿宋" w:eastAsia="仿宋"/>
                <w:color w:val="000000"/>
                <w:sz w:val="30"/>
                <w:szCs w:val="30"/>
              </w:rPr>
            </w:pPr>
          </w:p>
        </w:tc>
        <w:tc>
          <w:tcPr>
            <w:tcW w:w="2461" w:type="dxa"/>
          </w:tcPr>
          <w:p>
            <w:pPr>
              <w:rPr>
                <w:rFonts w:ascii="仿宋" w:eastAsia="仿宋"/>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tcPr>
          <w:p>
            <w:pPr>
              <w:rPr>
                <w:rFonts w:ascii="仿宋" w:eastAsia="仿宋"/>
                <w:color w:val="000000"/>
                <w:sz w:val="30"/>
                <w:szCs w:val="30"/>
              </w:rPr>
            </w:pPr>
          </w:p>
        </w:tc>
        <w:tc>
          <w:tcPr>
            <w:tcW w:w="1284" w:type="dxa"/>
          </w:tcPr>
          <w:p>
            <w:pPr>
              <w:rPr>
                <w:rFonts w:ascii="仿宋" w:eastAsia="仿宋"/>
                <w:color w:val="000000"/>
                <w:sz w:val="30"/>
                <w:szCs w:val="30"/>
              </w:rPr>
            </w:pPr>
          </w:p>
        </w:tc>
        <w:tc>
          <w:tcPr>
            <w:tcW w:w="1843" w:type="dxa"/>
          </w:tcPr>
          <w:p>
            <w:pPr>
              <w:rPr>
                <w:rFonts w:ascii="仿宋" w:eastAsia="仿宋"/>
                <w:color w:val="000000"/>
                <w:sz w:val="30"/>
                <w:szCs w:val="30"/>
              </w:rPr>
            </w:pPr>
          </w:p>
        </w:tc>
        <w:tc>
          <w:tcPr>
            <w:tcW w:w="2268" w:type="dxa"/>
          </w:tcPr>
          <w:p>
            <w:pPr>
              <w:rPr>
                <w:rFonts w:ascii="仿宋" w:eastAsia="仿宋"/>
                <w:color w:val="000000"/>
                <w:sz w:val="30"/>
                <w:szCs w:val="30"/>
              </w:rPr>
            </w:pPr>
          </w:p>
        </w:tc>
        <w:tc>
          <w:tcPr>
            <w:tcW w:w="2461" w:type="dxa"/>
          </w:tcPr>
          <w:p>
            <w:pPr>
              <w:rPr>
                <w:rFonts w:ascii="仿宋" w:eastAsia="仿宋"/>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tcPr>
          <w:p>
            <w:pPr>
              <w:rPr>
                <w:rFonts w:ascii="仿宋" w:eastAsia="仿宋"/>
                <w:color w:val="000000"/>
                <w:sz w:val="30"/>
                <w:szCs w:val="30"/>
              </w:rPr>
            </w:pPr>
          </w:p>
        </w:tc>
        <w:tc>
          <w:tcPr>
            <w:tcW w:w="1284" w:type="dxa"/>
          </w:tcPr>
          <w:p>
            <w:pPr>
              <w:rPr>
                <w:rFonts w:ascii="仿宋" w:eastAsia="仿宋"/>
                <w:color w:val="000000"/>
                <w:sz w:val="30"/>
                <w:szCs w:val="30"/>
              </w:rPr>
            </w:pPr>
          </w:p>
        </w:tc>
        <w:tc>
          <w:tcPr>
            <w:tcW w:w="1843" w:type="dxa"/>
          </w:tcPr>
          <w:p>
            <w:pPr>
              <w:rPr>
                <w:rFonts w:ascii="仿宋" w:eastAsia="仿宋"/>
                <w:color w:val="000000"/>
                <w:sz w:val="30"/>
                <w:szCs w:val="30"/>
              </w:rPr>
            </w:pPr>
          </w:p>
        </w:tc>
        <w:tc>
          <w:tcPr>
            <w:tcW w:w="2268" w:type="dxa"/>
          </w:tcPr>
          <w:p>
            <w:pPr>
              <w:rPr>
                <w:rFonts w:ascii="仿宋" w:eastAsia="仿宋"/>
                <w:color w:val="000000"/>
                <w:sz w:val="30"/>
                <w:szCs w:val="30"/>
              </w:rPr>
            </w:pPr>
          </w:p>
        </w:tc>
        <w:tc>
          <w:tcPr>
            <w:tcW w:w="2461" w:type="dxa"/>
          </w:tcPr>
          <w:p>
            <w:pPr>
              <w:rPr>
                <w:rFonts w:ascii="仿宋" w:eastAsia="仿宋"/>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1717" w:type="dxa"/>
            <w:vAlign w:val="center"/>
          </w:tcPr>
          <w:p>
            <w:pPr>
              <w:jc w:val="center"/>
              <w:rPr>
                <w:rFonts w:ascii="仿宋" w:eastAsia="仿宋"/>
                <w:color w:val="000000"/>
                <w:sz w:val="30"/>
                <w:szCs w:val="30"/>
              </w:rPr>
            </w:pPr>
            <w:r>
              <w:rPr>
                <w:rFonts w:hint="eastAsia" w:ascii="仿宋" w:eastAsia="仿宋"/>
                <w:color w:val="000000"/>
                <w:sz w:val="30"/>
                <w:szCs w:val="30"/>
              </w:rPr>
              <w:t>发票抬头：</w:t>
            </w:r>
          </w:p>
        </w:tc>
        <w:tc>
          <w:tcPr>
            <w:tcW w:w="7856" w:type="dxa"/>
            <w:gridSpan w:val="4"/>
          </w:tcPr>
          <w:p>
            <w:pPr>
              <w:rPr>
                <w:rFonts w:ascii="仿宋" w:eastAsia="仿宋"/>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Align w:val="center"/>
          </w:tcPr>
          <w:p>
            <w:pPr>
              <w:jc w:val="center"/>
              <w:rPr>
                <w:rFonts w:ascii="仿宋" w:eastAsia="仿宋"/>
                <w:color w:val="000000"/>
                <w:sz w:val="30"/>
                <w:szCs w:val="30"/>
              </w:rPr>
            </w:pPr>
            <w:r>
              <w:rPr>
                <w:rFonts w:hint="eastAsia" w:ascii="仿宋" w:eastAsia="仿宋"/>
                <w:color w:val="000000"/>
                <w:sz w:val="30"/>
                <w:szCs w:val="30"/>
              </w:rPr>
              <w:t>公司税号：</w:t>
            </w:r>
          </w:p>
        </w:tc>
        <w:tc>
          <w:tcPr>
            <w:tcW w:w="7856" w:type="dxa"/>
            <w:gridSpan w:val="4"/>
          </w:tcPr>
          <w:p>
            <w:pPr>
              <w:rPr>
                <w:rFonts w:ascii="仿宋" w:eastAsia="仿宋"/>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7" w:type="dxa"/>
            <w:vAlign w:val="center"/>
          </w:tcPr>
          <w:p>
            <w:pPr>
              <w:jc w:val="center"/>
              <w:rPr>
                <w:rFonts w:ascii="仿宋" w:eastAsia="仿宋"/>
                <w:color w:val="000000"/>
                <w:sz w:val="30"/>
                <w:szCs w:val="30"/>
              </w:rPr>
            </w:pPr>
            <w:r>
              <w:rPr>
                <w:rFonts w:hint="eastAsia" w:ascii="仿宋" w:eastAsia="仿宋"/>
                <w:color w:val="000000"/>
                <w:sz w:val="30"/>
                <w:szCs w:val="30"/>
              </w:rPr>
              <w:t>备  注：</w:t>
            </w:r>
          </w:p>
        </w:tc>
        <w:tc>
          <w:tcPr>
            <w:tcW w:w="7856" w:type="dxa"/>
            <w:gridSpan w:val="4"/>
          </w:tcPr>
          <w:p>
            <w:pPr>
              <w:rPr>
                <w:rFonts w:ascii="仿宋" w:eastAsia="仿宋"/>
                <w:color w:val="00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jc w:val="center"/>
        </w:trPr>
        <w:tc>
          <w:tcPr>
            <w:tcW w:w="9573" w:type="dxa"/>
            <w:gridSpan w:val="5"/>
          </w:tcPr>
          <w:p>
            <w:pPr>
              <w:rPr>
                <w:rFonts w:ascii="仿宋" w:eastAsia="仿宋"/>
                <w:color w:val="000000"/>
                <w:sz w:val="30"/>
                <w:szCs w:val="30"/>
              </w:rPr>
            </w:pPr>
            <w:r>
              <w:rPr>
                <w:rFonts w:hint="eastAsia" w:ascii="仿宋" w:eastAsia="仿宋"/>
                <w:color w:val="000000"/>
                <w:sz w:val="30"/>
                <w:szCs w:val="30"/>
              </w:rPr>
              <w:t xml:space="preserve">住宿要求：□三亚海棠湾喜来登酒店    </w:t>
            </w:r>
          </w:p>
          <w:p>
            <w:pPr>
              <w:ind w:firstLine="1800" w:firstLineChars="600"/>
              <w:rPr>
                <w:rFonts w:ascii="仿宋" w:eastAsia="仿宋"/>
                <w:color w:val="000000"/>
                <w:sz w:val="30"/>
                <w:szCs w:val="30"/>
              </w:rPr>
            </w:pPr>
            <w:r>
              <w:rPr>
                <w:rFonts w:hint="eastAsia" w:ascii="仿宋" w:eastAsia="仿宋"/>
                <w:color w:val="000000"/>
                <w:sz w:val="30"/>
                <w:szCs w:val="30"/>
              </w:rPr>
              <w:t>□大床房         □标间    10</w:t>
            </w:r>
            <w:r>
              <w:rPr>
                <w:rFonts w:hint="eastAsia" w:ascii="仿宋" w:eastAsia="仿宋"/>
                <w:color w:val="000000"/>
                <w:sz w:val="30"/>
                <w:szCs w:val="30"/>
                <w:lang w:val="en-US" w:eastAsia="zh-CN"/>
              </w:rPr>
              <w:t>50</w:t>
            </w:r>
            <w:r>
              <w:rPr>
                <w:rFonts w:hint="eastAsia" w:ascii="仿宋" w:eastAsia="仿宋"/>
                <w:color w:val="000000"/>
                <w:sz w:val="30"/>
                <w:szCs w:val="30"/>
              </w:rPr>
              <w:t>元/间/天（含双早）</w:t>
            </w:r>
          </w:p>
          <w:p>
            <w:pPr>
              <w:ind w:firstLine="1500" w:firstLineChars="500"/>
              <w:rPr>
                <w:rFonts w:ascii="仿宋" w:eastAsia="仿宋"/>
                <w:color w:val="000000"/>
                <w:sz w:val="30"/>
                <w:szCs w:val="30"/>
              </w:rPr>
            </w:pPr>
            <w:r>
              <w:rPr>
                <w:rFonts w:hint="eastAsia" w:ascii="仿宋" w:eastAsia="仿宋"/>
                <w:color w:val="000000"/>
                <w:sz w:val="30"/>
                <w:szCs w:val="30"/>
              </w:rPr>
              <w:t xml:space="preserve">□三亚海棠湾麓湖酒店   </w:t>
            </w:r>
          </w:p>
          <w:p>
            <w:pPr>
              <w:ind w:firstLine="1800" w:firstLineChars="600"/>
              <w:rPr>
                <w:rFonts w:ascii="仿宋" w:eastAsia="仿宋"/>
                <w:color w:val="000000"/>
                <w:sz w:val="30"/>
                <w:szCs w:val="30"/>
              </w:rPr>
            </w:pPr>
            <w:r>
              <w:rPr>
                <w:rFonts w:hint="eastAsia" w:ascii="仿宋" w:eastAsia="仿宋"/>
                <w:color w:val="000000"/>
                <w:sz w:val="30"/>
                <w:szCs w:val="30"/>
              </w:rPr>
              <w:t xml:space="preserve">□大床房         □标间    </w:t>
            </w:r>
            <w:r>
              <w:rPr>
                <w:rFonts w:hint="eastAsia" w:ascii="仿宋" w:eastAsia="仿宋"/>
                <w:color w:val="000000" w:themeColor="text1"/>
                <w:sz w:val="30"/>
                <w:szCs w:val="30"/>
              </w:rPr>
              <w:t>4</w:t>
            </w:r>
            <w:r>
              <w:rPr>
                <w:rFonts w:hint="eastAsia" w:ascii="仿宋" w:eastAsia="仿宋"/>
                <w:color w:val="000000" w:themeColor="text1"/>
                <w:sz w:val="30"/>
                <w:szCs w:val="30"/>
                <w:lang w:val="en-US" w:eastAsia="zh-CN"/>
              </w:rPr>
              <w:t>8</w:t>
            </w:r>
            <w:r>
              <w:rPr>
                <w:rFonts w:hint="eastAsia" w:ascii="仿宋" w:eastAsia="仿宋"/>
                <w:color w:val="000000" w:themeColor="text1"/>
                <w:sz w:val="30"/>
                <w:szCs w:val="30"/>
              </w:rPr>
              <w:t>0</w:t>
            </w:r>
            <w:r>
              <w:rPr>
                <w:rFonts w:hint="eastAsia" w:ascii="仿宋" w:eastAsia="仿宋"/>
                <w:color w:val="000000"/>
                <w:sz w:val="30"/>
                <w:szCs w:val="30"/>
              </w:rPr>
              <w:t>元/间/天（含双早）</w:t>
            </w:r>
          </w:p>
          <w:p>
            <w:pPr>
              <w:rPr>
                <w:rFonts w:ascii="仿宋" w:eastAsia="仿宋"/>
                <w:color w:val="000000"/>
                <w:sz w:val="30"/>
                <w:szCs w:val="30"/>
              </w:rPr>
            </w:pPr>
            <w:r>
              <w:rPr>
                <w:rFonts w:hint="eastAsia" w:ascii="仿宋" w:eastAsia="仿宋"/>
                <w:color w:val="000000"/>
                <w:sz w:val="30"/>
                <w:szCs w:val="30"/>
              </w:rPr>
              <w:t>预定间数：【   】间</w:t>
            </w:r>
          </w:p>
          <w:p>
            <w:pPr>
              <w:rPr>
                <w:rFonts w:ascii="仿宋" w:eastAsia="仿宋"/>
                <w:color w:val="000000"/>
                <w:sz w:val="30"/>
                <w:szCs w:val="30"/>
              </w:rPr>
            </w:pPr>
            <w:r>
              <w:rPr>
                <w:rFonts w:hint="eastAsia" w:ascii="仿宋" w:eastAsia="仿宋"/>
                <w:color w:val="000000"/>
                <w:sz w:val="30"/>
                <w:szCs w:val="30"/>
              </w:rPr>
              <w:t>住宿日期：</w:t>
            </w:r>
            <w:r>
              <w:rPr>
                <w:rFonts w:hint="eastAsia" w:ascii="仿宋" w:eastAsia="仿宋"/>
                <w:b/>
                <w:color w:val="FF0000"/>
                <w:sz w:val="30"/>
                <w:szCs w:val="30"/>
              </w:rPr>
              <w:t>1</w:t>
            </w:r>
            <w:r>
              <w:rPr>
                <w:rFonts w:hint="eastAsia" w:ascii="仿宋" w:eastAsia="仿宋"/>
                <w:b/>
                <w:color w:val="FF0000"/>
                <w:sz w:val="30"/>
                <w:szCs w:val="30"/>
                <w:lang w:val="en-US" w:eastAsia="zh-CN"/>
              </w:rPr>
              <w:t>1</w:t>
            </w:r>
            <w:r>
              <w:rPr>
                <w:rFonts w:hint="eastAsia" w:ascii="仿宋" w:eastAsia="仿宋"/>
                <w:b/>
                <w:color w:val="FF0000"/>
                <w:sz w:val="30"/>
                <w:szCs w:val="30"/>
              </w:rPr>
              <w:t>月</w:t>
            </w:r>
            <w:r>
              <w:rPr>
                <w:rFonts w:hint="eastAsia" w:ascii="仿宋" w:eastAsia="仿宋"/>
                <w:b/>
                <w:color w:val="FF0000"/>
                <w:sz w:val="30"/>
                <w:szCs w:val="30"/>
                <w:lang w:val="en-US" w:eastAsia="zh-CN"/>
              </w:rPr>
              <w:t>10</w:t>
            </w:r>
            <w:r>
              <w:rPr>
                <w:rFonts w:hint="eastAsia" w:ascii="仿宋" w:eastAsia="仿宋"/>
                <w:b/>
                <w:color w:val="FF0000"/>
                <w:sz w:val="30"/>
                <w:szCs w:val="30"/>
              </w:rPr>
              <w:t>日至1</w:t>
            </w:r>
            <w:r>
              <w:rPr>
                <w:rFonts w:hint="eastAsia" w:ascii="仿宋" w:eastAsia="仿宋"/>
                <w:b/>
                <w:color w:val="FF0000"/>
                <w:sz w:val="30"/>
                <w:szCs w:val="30"/>
                <w:lang w:val="en-US" w:eastAsia="zh-CN"/>
              </w:rPr>
              <w:t>1</w:t>
            </w:r>
            <w:r>
              <w:rPr>
                <w:rFonts w:hint="eastAsia" w:ascii="仿宋" w:eastAsia="仿宋"/>
                <w:b/>
                <w:color w:val="FF0000"/>
                <w:sz w:val="30"/>
                <w:szCs w:val="30"/>
              </w:rPr>
              <w:t>月1</w:t>
            </w:r>
            <w:r>
              <w:rPr>
                <w:rFonts w:hint="eastAsia" w:ascii="仿宋" w:eastAsia="仿宋"/>
                <w:b/>
                <w:color w:val="FF0000"/>
                <w:sz w:val="30"/>
                <w:szCs w:val="30"/>
                <w:lang w:val="en-US" w:eastAsia="zh-CN"/>
              </w:rPr>
              <w:t>1</w:t>
            </w:r>
            <w:r>
              <w:rPr>
                <w:rFonts w:hint="eastAsia" w:ascii="仿宋" w:eastAsia="仿宋"/>
                <w:b/>
                <w:color w:val="FF0000"/>
                <w:sz w:val="30"/>
                <w:szCs w:val="30"/>
              </w:rPr>
              <w:t>日共2晚（会议期间是三亚旅游旺季，会务组仅保证会议期间的房间预订，如需提前入住或续住请自行预订。）</w:t>
            </w:r>
          </w:p>
          <w:p>
            <w:pPr>
              <w:rPr>
                <w:rFonts w:ascii="仿宋" w:eastAsia="仿宋"/>
                <w:color w:val="000000"/>
                <w:sz w:val="32"/>
                <w:szCs w:val="32"/>
              </w:rPr>
            </w:pPr>
            <w:r>
              <w:rPr>
                <w:rFonts w:ascii="仿宋" w:eastAsia="仿宋"/>
                <w:color w:val="000000"/>
                <w:sz w:val="32"/>
                <w:szCs w:val="32"/>
              </w:rPr>
              <w:t>入住须知</w:t>
            </w:r>
            <w:r>
              <w:rPr>
                <w:rFonts w:hint="eastAsia" w:ascii="仿宋" w:eastAsia="仿宋"/>
                <w:color w:val="000000"/>
                <w:sz w:val="32"/>
                <w:szCs w:val="32"/>
              </w:rPr>
              <w:t>：1</w:t>
            </w:r>
            <w:r>
              <w:rPr>
                <w:rFonts w:hint="eastAsia" w:ascii="仿宋" w:eastAsia="仿宋"/>
                <w:color w:val="000000"/>
                <w:sz w:val="32"/>
                <w:szCs w:val="32"/>
                <w:lang w:val="en-US" w:eastAsia="zh-CN"/>
              </w:rPr>
              <w:t>1</w:t>
            </w:r>
            <w:r>
              <w:rPr>
                <w:rFonts w:hint="eastAsia" w:ascii="仿宋" w:eastAsia="仿宋"/>
                <w:color w:val="000000"/>
                <w:sz w:val="32"/>
                <w:szCs w:val="32"/>
              </w:rPr>
              <w:t>月份海南旅游旺季，酒店</w:t>
            </w:r>
            <w:r>
              <w:rPr>
                <w:rFonts w:ascii="仿宋" w:eastAsia="仿宋"/>
                <w:color w:val="000000"/>
                <w:sz w:val="32"/>
                <w:szCs w:val="32"/>
              </w:rPr>
              <w:t>大床房数量有限</w:t>
            </w:r>
            <w:r>
              <w:rPr>
                <w:rFonts w:hint="eastAsia" w:ascii="仿宋" w:eastAsia="仿宋"/>
                <w:color w:val="000000"/>
                <w:sz w:val="32"/>
                <w:szCs w:val="32"/>
              </w:rPr>
              <w:t>，</w:t>
            </w:r>
            <w:r>
              <w:rPr>
                <w:rFonts w:ascii="仿宋" w:eastAsia="仿宋"/>
                <w:color w:val="000000"/>
                <w:sz w:val="32"/>
                <w:szCs w:val="32"/>
              </w:rPr>
              <w:t>先定先得</w:t>
            </w:r>
            <w:r>
              <w:rPr>
                <w:rFonts w:hint="eastAsia" w:ascii="仿宋" w:eastAsia="仿宋"/>
                <w:color w:val="000000"/>
                <w:sz w:val="32"/>
                <w:szCs w:val="32"/>
              </w:rPr>
              <w:t>。</w:t>
            </w:r>
          </w:p>
        </w:tc>
      </w:tr>
    </w:tbl>
    <w:p>
      <w:pPr>
        <w:rPr>
          <w:rFonts w:asciiTheme="majorEastAsia" w:hAnsiTheme="majorEastAsia" w:eastAsiaTheme="majorEastAsia"/>
          <w:color w:val="000000"/>
          <w:sz w:val="24"/>
          <w:szCs w:val="24"/>
        </w:rPr>
      </w:pPr>
    </w:p>
    <w:p>
      <w:pPr>
        <w:rPr>
          <w:rFonts w:asciiTheme="majorEastAsia" w:hAnsiTheme="majorEastAsia" w:eastAsiaTheme="majorEastAsia"/>
          <w:color w:val="000000"/>
          <w:sz w:val="24"/>
          <w:szCs w:val="24"/>
        </w:rPr>
      </w:pPr>
      <w:r>
        <w:rPr>
          <w:rFonts w:hint="eastAsia" w:asciiTheme="majorEastAsia" w:hAnsiTheme="majorEastAsia" w:eastAsiaTheme="majorEastAsia"/>
          <w:color w:val="000000"/>
          <w:sz w:val="24"/>
          <w:szCs w:val="24"/>
        </w:rPr>
        <w:t>1、回执请于1</w:t>
      </w:r>
      <w:r>
        <w:rPr>
          <w:rFonts w:hint="eastAsia" w:asciiTheme="majorEastAsia" w:hAnsiTheme="majorEastAsia" w:eastAsiaTheme="majorEastAsia"/>
          <w:color w:val="000000"/>
          <w:sz w:val="24"/>
          <w:szCs w:val="24"/>
          <w:lang w:val="en-US" w:eastAsia="zh-CN"/>
        </w:rPr>
        <w:t>0</w:t>
      </w:r>
      <w:r>
        <w:rPr>
          <w:rFonts w:hint="eastAsia" w:asciiTheme="majorEastAsia" w:hAnsiTheme="majorEastAsia" w:eastAsiaTheme="majorEastAsia"/>
          <w:color w:val="000000"/>
          <w:sz w:val="24"/>
          <w:szCs w:val="24"/>
        </w:rPr>
        <w:t>月30日前发送至</w:t>
      </w:r>
      <w:r>
        <w:rPr>
          <w:rFonts w:asciiTheme="majorEastAsia" w:hAnsiTheme="majorEastAsia" w:eastAsiaTheme="majorEastAsia"/>
          <w:color w:val="000000"/>
          <w:sz w:val="24"/>
          <w:szCs w:val="24"/>
        </w:rPr>
        <w:t>E-mail:sales@jbpharm.cn</w:t>
      </w:r>
      <w:r>
        <w:rPr>
          <w:rFonts w:hint="eastAsia" w:asciiTheme="majorEastAsia" w:hAnsiTheme="majorEastAsia" w:eastAsiaTheme="majorEastAsia"/>
          <w:color w:val="000000"/>
          <w:sz w:val="24"/>
          <w:szCs w:val="24"/>
        </w:rPr>
        <w:t>或2220462402@qq.com</w:t>
      </w:r>
    </w:p>
    <w:p>
      <w:pPr>
        <w:rPr>
          <w:rFonts w:asciiTheme="majorEastAsia" w:hAnsiTheme="majorEastAsia" w:eastAsiaTheme="majorEastAsia"/>
          <w:color w:val="000000"/>
          <w:sz w:val="24"/>
          <w:szCs w:val="24"/>
        </w:rPr>
      </w:pPr>
      <w:r>
        <w:rPr>
          <w:rFonts w:hint="eastAsia" w:asciiTheme="majorEastAsia" w:hAnsiTheme="majorEastAsia" w:eastAsiaTheme="majorEastAsia"/>
          <w:color w:val="000000"/>
          <w:sz w:val="24"/>
          <w:szCs w:val="24"/>
        </w:rPr>
        <w:t>2、如遇任何其它问题，请联系会务组：王芳芳（13700434120）、陈明子（</w:t>
      </w:r>
      <w:r>
        <w:rPr>
          <w:rFonts w:asciiTheme="majorEastAsia" w:hAnsiTheme="majorEastAsia" w:eastAsiaTheme="majorEastAsia"/>
          <w:color w:val="000000"/>
          <w:sz w:val="24"/>
          <w:szCs w:val="24"/>
        </w:rPr>
        <w:t>13307626901</w:t>
      </w:r>
      <w:r>
        <w:rPr>
          <w:rFonts w:hint="eastAsia" w:asciiTheme="majorEastAsia" w:hAnsiTheme="majorEastAsia" w:eastAsiaTheme="majorEastAsia"/>
          <w:color w:val="000000"/>
          <w:sz w:val="24"/>
          <w:szCs w:val="24"/>
        </w:rPr>
        <w:t>）</w:t>
      </w:r>
    </w:p>
    <w:p>
      <w:pPr>
        <w:rPr>
          <w:rFonts w:ascii="仿宋" w:eastAsia="仿宋"/>
          <w:b/>
          <w:sz w:val="24"/>
          <w:szCs w:val="24"/>
        </w:rPr>
      </w:pPr>
    </w:p>
    <w:p>
      <w:pPr>
        <w:rPr>
          <w:rFonts w:ascii="仿宋" w:eastAsia="仿宋"/>
          <w:b/>
          <w:sz w:val="24"/>
          <w:szCs w:val="24"/>
        </w:rPr>
      </w:pPr>
    </w:p>
    <w:p>
      <w:pPr>
        <w:rPr>
          <w:rFonts w:ascii="仿宋" w:eastAsia="仿宋"/>
          <w:b/>
          <w:sz w:val="24"/>
          <w:szCs w:val="24"/>
        </w:rPr>
      </w:pPr>
    </w:p>
    <w:p>
      <w:pPr>
        <w:rPr>
          <w:rFonts w:ascii="仿宋" w:eastAsia="仿宋"/>
          <w:b/>
          <w:color w:val="000000"/>
          <w:sz w:val="32"/>
          <w:szCs w:val="32"/>
        </w:rPr>
      </w:pPr>
      <w:r>
        <w:rPr>
          <w:rFonts w:hint="eastAsia" w:ascii="仿宋" w:eastAsia="仿宋"/>
          <w:b/>
          <w:color w:val="000000"/>
          <w:sz w:val="32"/>
          <w:szCs w:val="32"/>
        </w:rPr>
        <w:t>附件4</w:t>
      </w:r>
      <w:r>
        <w:rPr>
          <w:rFonts w:ascii="仿宋" w:eastAsia="仿宋"/>
          <w:b/>
          <w:color w:val="000000"/>
          <w:sz w:val="32"/>
          <w:szCs w:val="32"/>
        </w:rPr>
        <w:t>、</w:t>
      </w:r>
      <w:r>
        <w:rPr>
          <w:rFonts w:hint="eastAsia" w:ascii="仿宋" w:eastAsia="仿宋"/>
          <w:b/>
          <w:color w:val="000000"/>
          <w:sz w:val="32"/>
          <w:szCs w:val="32"/>
        </w:rPr>
        <w:t>特邀专家名单：</w:t>
      </w:r>
    </w:p>
    <w:tbl>
      <w:tblPr>
        <w:tblStyle w:val="5"/>
        <w:tblW w:w="98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6"/>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7" w:hRule="atLeast"/>
          <w:jc w:val="center"/>
        </w:trPr>
        <w:tc>
          <w:tcPr>
            <w:tcW w:w="7426" w:type="dxa"/>
            <w:shd w:val="clear" w:color="auto" w:fill="auto"/>
          </w:tcPr>
          <w:p>
            <w:pPr>
              <w:rPr>
                <w:rFonts w:ascii="仿宋" w:eastAsia="仿宋"/>
                <w:b/>
                <w:color w:val="auto"/>
                <w:sz w:val="32"/>
                <w:szCs w:val="32"/>
              </w:rPr>
            </w:pPr>
            <w:r>
              <w:rPr>
                <w:rFonts w:hint="eastAsia" w:ascii="仿宋" w:eastAsia="仿宋"/>
                <w:b/>
                <w:color w:val="auto"/>
                <w:sz w:val="32"/>
                <w:szCs w:val="32"/>
              </w:rPr>
              <w:t>王 锐</w:t>
            </w:r>
          </w:p>
          <w:p>
            <w:pPr>
              <w:ind w:firstLine="480"/>
              <w:rPr>
                <w:rFonts w:hint="eastAsia" w:ascii="仿宋" w:eastAsia="仿宋"/>
                <w:color w:val="auto"/>
                <w:sz w:val="24"/>
                <w:szCs w:val="24"/>
              </w:rPr>
            </w:pPr>
            <w:r>
              <w:rPr>
                <w:rFonts w:hint="eastAsia" w:ascii="仿宋" w:eastAsia="仿宋"/>
                <w:color w:val="auto"/>
                <w:sz w:val="24"/>
                <w:szCs w:val="24"/>
              </w:rPr>
              <w:t>中国工程院院士（医药卫生学部）、全国政协常委、中国医学科学院学部委员、甘肃省科协副主席、兰州大学副校长、医学院院长、教育部“长江学者”特聘教授、国家杰出青年科学基金获得者、中组部国家“万人计划领军人才”、教育部“多肽药物”创新团队负责人。</w:t>
            </w:r>
          </w:p>
        </w:tc>
        <w:tc>
          <w:tcPr>
            <w:tcW w:w="2406" w:type="dxa"/>
            <w:shd w:val="clear" w:color="auto" w:fill="auto"/>
            <w:vAlign w:val="center"/>
          </w:tcPr>
          <w:p>
            <w:pPr>
              <w:jc w:val="center"/>
              <w:rPr>
                <w:rFonts w:ascii="仿宋" w:eastAsia="仿宋"/>
                <w:color w:val="auto"/>
                <w:sz w:val="24"/>
                <w:szCs w:val="24"/>
              </w:rPr>
            </w:pPr>
            <w:r>
              <w:rPr>
                <w:rFonts w:ascii="仿宋" w:eastAsia="仿宋"/>
                <w:color w:val="auto"/>
                <w:sz w:val="24"/>
                <w:szCs w:val="24"/>
              </w:rPr>
              <w:drawing>
                <wp:inline distT="0" distB="0" distL="0" distR="0">
                  <wp:extent cx="1270635" cy="1436370"/>
                  <wp:effectExtent l="0" t="0" r="5715" b="11430"/>
                  <wp:docPr id="19" name="图片 7" descr="C:\Users\王芳芳\Desktop\嘉宾简介\嘉宾照片\王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descr="C:\Users\王芳芳\Desktop\嘉宾简介\嘉宾照片\王锐.png"/>
                          <pic:cNvPicPr>
                            <a:picLocks noChangeAspect="1" noChangeArrowheads="1"/>
                          </pic:cNvPicPr>
                        </pic:nvPicPr>
                        <pic:blipFill>
                          <a:blip r:embed="rId8"/>
                          <a:srcRect/>
                          <a:stretch>
                            <a:fillRect/>
                          </a:stretch>
                        </pic:blipFill>
                        <pic:spPr>
                          <a:xfrm>
                            <a:off x="0" y="0"/>
                            <a:ext cx="1270635" cy="143637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7426" w:type="dxa"/>
            <w:shd w:val="clear" w:color="auto" w:fill="auto"/>
          </w:tcPr>
          <w:p>
            <w:pPr>
              <w:widowControl/>
              <w:jc w:val="left"/>
              <w:rPr>
                <w:rFonts w:ascii="仿宋" w:eastAsia="仿宋"/>
                <w:b/>
                <w:color w:val="auto"/>
                <w:sz w:val="32"/>
                <w:szCs w:val="32"/>
              </w:rPr>
            </w:pPr>
            <w:r>
              <w:rPr>
                <w:rFonts w:hint="eastAsia" w:ascii="仿宋" w:eastAsia="仿宋"/>
                <w:b/>
                <w:color w:val="auto"/>
                <w:sz w:val="32"/>
                <w:szCs w:val="32"/>
              </w:rPr>
              <w:t>姜世勃</w:t>
            </w:r>
          </w:p>
          <w:p>
            <w:pPr>
              <w:widowControl/>
              <w:ind w:firstLine="480"/>
              <w:jc w:val="left"/>
              <w:rPr>
                <w:rFonts w:hint="eastAsia" w:ascii="仿宋" w:eastAsia="仿宋"/>
                <w:color w:val="auto"/>
                <w:sz w:val="24"/>
                <w:szCs w:val="24"/>
              </w:rPr>
            </w:pPr>
            <w:r>
              <w:rPr>
                <w:rFonts w:hint="eastAsia" w:ascii="仿宋" w:eastAsia="仿宋"/>
                <w:color w:val="auto"/>
                <w:sz w:val="24"/>
                <w:szCs w:val="24"/>
              </w:rPr>
              <w:t>国家千人计划特聘专家和复旦大学教授。87-90年在美国洛克菲勒大学作博士后,90-10年在纽约血液中心任研究员和室主任。主要从事抗病毒药物及疫苗研究。90年代初发现了第一个高效的抗HIV的C多肽,其发明专利转让给美国药物公司开发出国际上首个抗HIV多肽药物一恩夫韦肽,因此而开辟了基于病毒进入抑制剂多肽药物的新领域。已在 Nature等杂志发表428篇SCI论文,获24项美国专利和14项中国专利,其中11项已成功转让。</w:t>
            </w:r>
          </w:p>
        </w:tc>
        <w:tc>
          <w:tcPr>
            <w:tcW w:w="2406" w:type="dxa"/>
            <w:shd w:val="clear" w:color="auto" w:fill="auto"/>
          </w:tcPr>
          <w:p>
            <w:pPr>
              <w:rPr>
                <w:rFonts w:ascii="仿宋" w:eastAsia="仿宋"/>
                <w:color w:val="auto"/>
                <w:sz w:val="24"/>
                <w:szCs w:val="24"/>
              </w:rPr>
            </w:pPr>
          </w:p>
          <w:p>
            <w:pPr>
              <w:jc w:val="center"/>
              <w:rPr>
                <w:rFonts w:ascii="仿宋" w:eastAsia="仿宋"/>
                <w:color w:val="auto"/>
                <w:sz w:val="24"/>
                <w:szCs w:val="24"/>
              </w:rPr>
            </w:pPr>
            <w:r>
              <w:rPr>
                <w:rFonts w:ascii="仿宋" w:eastAsia="仿宋"/>
                <w:color w:val="auto"/>
                <w:sz w:val="24"/>
                <w:szCs w:val="24"/>
              </w:rPr>
              <w:drawing>
                <wp:inline distT="0" distB="0" distL="0" distR="0">
                  <wp:extent cx="1270000" cy="1394460"/>
                  <wp:effectExtent l="0" t="0" r="6350" b="15240"/>
                  <wp:docPr id="16" name="图片 4" descr="C:\Users\王芳芳\Desktop\嘉宾简介\嘉宾照片\姜世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C:\Users\王芳芳\Desktop\嘉宾简介\嘉宾照片\姜世勃.png"/>
                          <pic:cNvPicPr>
                            <a:picLocks noChangeAspect="1" noChangeArrowheads="1"/>
                          </pic:cNvPicPr>
                        </pic:nvPicPr>
                        <pic:blipFill>
                          <a:blip r:embed="rId9" cstate="print"/>
                          <a:srcRect/>
                          <a:stretch>
                            <a:fillRect/>
                          </a:stretch>
                        </pic:blipFill>
                        <pic:spPr>
                          <a:xfrm>
                            <a:off x="0" y="0"/>
                            <a:ext cx="1270000" cy="1399499"/>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7426" w:type="dxa"/>
            <w:shd w:val="clear" w:color="auto" w:fill="auto"/>
          </w:tcPr>
          <w:p>
            <w:pPr>
              <w:widowControl/>
              <w:jc w:val="left"/>
              <w:rPr>
                <w:rFonts w:ascii="仿宋" w:eastAsia="仿宋"/>
                <w:b/>
                <w:color w:val="auto"/>
                <w:sz w:val="32"/>
                <w:szCs w:val="32"/>
              </w:rPr>
            </w:pPr>
            <w:r>
              <w:rPr>
                <w:rFonts w:hint="eastAsia" w:ascii="仿宋" w:eastAsia="仿宋"/>
                <w:b/>
                <w:color w:val="auto"/>
                <w:sz w:val="32"/>
                <w:szCs w:val="32"/>
              </w:rPr>
              <w:t>李建明</w:t>
            </w:r>
          </w:p>
          <w:p>
            <w:pPr>
              <w:widowControl/>
              <w:jc w:val="left"/>
              <w:rPr>
                <w:rFonts w:ascii="仿宋" w:eastAsia="仿宋"/>
                <w:color w:val="auto"/>
                <w:sz w:val="24"/>
                <w:szCs w:val="24"/>
              </w:rPr>
            </w:pPr>
            <w:r>
              <w:rPr>
                <w:rFonts w:hint="eastAsia" w:ascii="仿宋" w:eastAsia="仿宋"/>
                <w:color w:val="auto"/>
                <w:sz w:val="24"/>
                <w:szCs w:val="24"/>
              </w:rPr>
              <w:t xml:space="preserve">    博士，工商管理硕士，现任海南双成药业总经理，之前任该公司副总经理，领导研发工作。李建明于1983年通过中美分子生物学和生物化学联合招生项目进入美国攻读生物化学博士。1989年至2003年他先后在耶鲁大学医学院和美国国家健康研究院癌症中心工作，研究癌症新药及治疗的分子生物学和生物化学的机理，发表数十篇研究论文；之后他在美国FDA任NDA和BLA的审评科学家，领导和参与多次GMP批准前检查；他在2013年回国加盟双成药业之前，在美国辉瑞先后担任法规事务药学副总监和高级主要科学家（Senior Principal Scientist）, 领导化药和生物药IND、NDA和BLA研发的法规事务和国际注册。</w:t>
            </w:r>
          </w:p>
        </w:tc>
        <w:tc>
          <w:tcPr>
            <w:tcW w:w="2406" w:type="dxa"/>
            <w:shd w:val="clear" w:color="auto" w:fill="auto"/>
          </w:tcPr>
          <w:p>
            <w:pPr>
              <w:rPr>
                <w:rFonts w:ascii="仿宋" w:eastAsia="仿宋"/>
                <w:color w:val="auto"/>
                <w:sz w:val="24"/>
                <w:szCs w:val="24"/>
              </w:rPr>
            </w:pPr>
          </w:p>
          <w:p>
            <w:pPr>
              <w:rPr>
                <w:rFonts w:ascii="仿宋" w:eastAsia="仿宋"/>
                <w:color w:val="auto"/>
                <w:sz w:val="24"/>
                <w:szCs w:val="24"/>
              </w:rPr>
            </w:pPr>
          </w:p>
          <w:p>
            <w:pPr>
              <w:jc w:val="center"/>
              <w:rPr>
                <w:rFonts w:ascii="仿宋" w:eastAsia="仿宋"/>
                <w:color w:val="auto"/>
                <w:sz w:val="24"/>
                <w:szCs w:val="24"/>
              </w:rPr>
            </w:pPr>
            <w:r>
              <w:rPr>
                <w:rFonts w:ascii="仿宋" w:eastAsia="仿宋"/>
                <w:color w:val="auto"/>
                <w:sz w:val="24"/>
                <w:szCs w:val="24"/>
              </w:rPr>
              <w:drawing>
                <wp:inline distT="0" distB="0" distL="0" distR="0">
                  <wp:extent cx="1280160" cy="1556385"/>
                  <wp:effectExtent l="0" t="0" r="15240" b="571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10"/>
                          <a:srcRect/>
                          <a:stretch>
                            <a:fillRect/>
                          </a:stretch>
                        </pic:blipFill>
                        <pic:spPr>
                          <a:xfrm>
                            <a:off x="0" y="0"/>
                            <a:ext cx="1280160" cy="1559936"/>
                          </a:xfrm>
                          <a:prstGeom prst="rect">
                            <a:avLst/>
                          </a:prstGeom>
                          <a:noFill/>
                          <a:ln w="9525">
                            <a:noFill/>
                            <a:miter lim="800000"/>
                            <a:headEnd/>
                            <a:tailEnd/>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26" w:type="dxa"/>
            <w:shd w:val="clear" w:color="auto" w:fill="auto"/>
          </w:tcPr>
          <w:p>
            <w:pPr>
              <w:widowControl/>
              <w:jc w:val="left"/>
              <w:rPr>
                <w:rFonts w:ascii="仿宋" w:eastAsia="仿宋"/>
                <w:b/>
                <w:color w:val="auto"/>
                <w:sz w:val="32"/>
                <w:szCs w:val="32"/>
              </w:rPr>
            </w:pPr>
            <w:r>
              <w:rPr>
                <w:rFonts w:hint="eastAsia" w:ascii="仿宋" w:eastAsia="仿宋"/>
                <w:b/>
                <w:color w:val="auto"/>
                <w:sz w:val="32"/>
                <w:szCs w:val="32"/>
              </w:rPr>
              <w:t xml:space="preserve">李  湘     </w:t>
            </w:r>
          </w:p>
          <w:p>
            <w:pPr>
              <w:widowControl/>
              <w:jc w:val="left"/>
              <w:rPr>
                <w:rFonts w:hint="eastAsia" w:ascii="仿宋" w:eastAsia="仿宋"/>
                <w:color w:val="auto"/>
                <w:sz w:val="24"/>
                <w:szCs w:val="24"/>
              </w:rPr>
            </w:pPr>
            <w:r>
              <w:rPr>
                <w:rFonts w:hint="eastAsia" w:ascii="仿宋" w:eastAsia="仿宋"/>
                <w:b/>
                <w:color w:val="auto"/>
                <w:sz w:val="32"/>
                <w:szCs w:val="32"/>
              </w:rPr>
              <w:t xml:space="preserve">   </w:t>
            </w:r>
            <w:r>
              <w:rPr>
                <w:rFonts w:hint="eastAsia" w:ascii="仿宋" w:eastAsia="仿宋"/>
                <w:color w:val="auto"/>
                <w:sz w:val="24"/>
                <w:szCs w:val="24"/>
              </w:rPr>
              <w:t>Shawn Lee 李湘博士，中肽生化创始人，董事长；泰德医药创始人/董事长；泽悦资本联合创始人。中美两地连续创业成功的科学家、企业家，国家高层次人才专家；“国家重大专项新药”评审专家；中国侨联特聘专家；浙商总会常务理事；信邦制药【002390】前副董事长，李湘博士曾在美国硅谷创办多家公司包括American Peptide Co.; CPC Scientific Inc,etc.李湘博士拥有中科院化学博士学位，加大伯克利分校博士后，长江商学院，瑞士IMD商学院EMBA，美国太平洋大学药学院客座教授。</w:t>
            </w:r>
          </w:p>
        </w:tc>
        <w:tc>
          <w:tcPr>
            <w:tcW w:w="2406" w:type="dxa"/>
            <w:shd w:val="clear" w:color="auto" w:fill="auto"/>
          </w:tcPr>
          <w:p>
            <w:pPr>
              <w:jc w:val="center"/>
              <w:rPr>
                <w:rFonts w:ascii="Arial" w:hAnsi="Arial" w:cs="Arial"/>
              </w:rPr>
            </w:pPr>
          </w:p>
          <w:p>
            <w:pPr>
              <w:jc w:val="center"/>
              <w:rPr>
                <w:rFonts w:ascii="仿宋" w:eastAsia="仿宋"/>
                <w:color w:val="auto"/>
                <w:sz w:val="24"/>
                <w:szCs w:val="24"/>
              </w:rPr>
            </w:pPr>
            <w:r>
              <w:rPr>
                <w:rFonts w:ascii="Arial" w:hAnsi="Arial" w:cs="Arial"/>
              </w:rPr>
              <w:drawing>
                <wp:inline distT="0" distB="0" distL="0" distR="0">
                  <wp:extent cx="977900" cy="1520190"/>
                  <wp:effectExtent l="0" t="0" r="12700" b="3810"/>
                  <wp:docPr id="24" name="Picture 2" descr="\\CPCSERVER2\Folder Redirection\shawn\Desktop\Cermony\Shawn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descr="\\CPCSERVER2\Folder Redirection\shawn\Desktop\Cermony\Shawn 20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977900" cy="15201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26" w:type="dxa"/>
            <w:shd w:val="clear" w:color="auto" w:fill="auto"/>
          </w:tcPr>
          <w:p>
            <w:pPr>
              <w:rPr>
                <w:rFonts w:ascii="仿宋" w:eastAsia="仿宋"/>
                <w:b/>
                <w:color w:val="auto"/>
                <w:sz w:val="32"/>
                <w:szCs w:val="32"/>
              </w:rPr>
            </w:pPr>
            <w:r>
              <w:rPr>
                <w:rFonts w:hint="eastAsia" w:ascii="仿宋" w:eastAsia="仿宋"/>
                <w:b/>
                <w:color w:val="auto"/>
                <w:sz w:val="32"/>
                <w:szCs w:val="32"/>
              </w:rPr>
              <w:t>陆荣健</w:t>
            </w:r>
          </w:p>
          <w:p>
            <w:pPr>
              <w:widowControl/>
              <w:jc w:val="left"/>
              <w:rPr>
                <w:rFonts w:ascii="仿宋" w:eastAsia="仿宋"/>
                <w:b/>
                <w:color w:val="auto"/>
                <w:sz w:val="32"/>
                <w:szCs w:val="32"/>
              </w:rPr>
            </w:pPr>
            <w:r>
              <w:rPr>
                <w:rFonts w:hint="eastAsia" w:ascii="仿宋" w:eastAsia="仿宋"/>
                <w:b/>
                <w:color w:val="auto"/>
                <w:sz w:val="32"/>
                <w:szCs w:val="32"/>
              </w:rPr>
              <w:t xml:space="preserve">   </w:t>
            </w:r>
            <w:r>
              <w:rPr>
                <w:rFonts w:hint="eastAsia" w:ascii="仿宋" w:eastAsia="仿宋"/>
                <w:color w:val="auto"/>
                <w:sz w:val="24"/>
                <w:szCs w:val="24"/>
                <w:lang w:val="en-US" w:eastAsia="zh-CN"/>
              </w:rPr>
              <w:t>前沿生物药业（南京）股份有限公司副总裁，</w:t>
            </w:r>
            <w:r>
              <w:rPr>
                <w:rFonts w:hint="eastAsia" w:ascii="仿宋" w:eastAsia="仿宋"/>
                <w:color w:val="auto"/>
                <w:sz w:val="24"/>
                <w:szCs w:val="24"/>
              </w:rPr>
              <w:t>有机化学博士，美国东北大学/哈佛医学院博士后研究员，美国国家癌症研究所（NCI）高级博士后研究员。历任美国Sequoia公司、Trimeris公司化学部首席研究员、项目主持人；Tibotec公司高级科学家。参与了包括T-20（Fuseon）和Darunavir在内的几个抗艾滋病新药的成功开发上市。国家“千人计划”特聘专家。</w:t>
            </w:r>
          </w:p>
        </w:tc>
        <w:tc>
          <w:tcPr>
            <w:tcW w:w="2406" w:type="dxa"/>
            <w:shd w:val="clear" w:color="auto" w:fill="auto"/>
          </w:tcPr>
          <w:p>
            <w:pPr>
              <w:jc w:val="center"/>
              <w:rPr>
                <w:rFonts w:ascii="仿宋" w:eastAsia="仿宋"/>
                <w:color w:val="auto"/>
                <w:sz w:val="24"/>
                <w:szCs w:val="24"/>
              </w:rPr>
            </w:pPr>
            <w:r>
              <w:rPr>
                <w:rFonts w:ascii="仿宋" w:eastAsia="仿宋"/>
                <w:color w:val="auto"/>
                <w:sz w:val="24"/>
                <w:szCs w:val="24"/>
              </w:rPr>
              <w:drawing>
                <wp:inline distT="0" distB="0" distL="0" distR="0">
                  <wp:extent cx="1213485" cy="1405255"/>
                  <wp:effectExtent l="0" t="0" r="5715" b="4445"/>
                  <wp:docPr id="32" name="图片 14"/>
                  <wp:cNvGraphicFramePr/>
                  <a:graphic xmlns:a="http://schemas.openxmlformats.org/drawingml/2006/main">
                    <a:graphicData uri="http://schemas.openxmlformats.org/drawingml/2006/picture">
                      <pic:pic xmlns:pic="http://schemas.openxmlformats.org/drawingml/2006/picture">
                        <pic:nvPicPr>
                          <pic:cNvPr id="32" name="图片 14"/>
                          <pic:cNvPicPr/>
                        </pic:nvPicPr>
                        <pic:blipFill>
                          <a:blip r:embed="rId12" cstate="print"/>
                          <a:srcRect/>
                          <a:stretch>
                            <a:fillRect/>
                          </a:stretch>
                        </pic:blipFill>
                        <pic:spPr>
                          <a:xfrm>
                            <a:off x="0" y="0"/>
                            <a:ext cx="1213485" cy="140525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0" w:hRule="atLeast"/>
          <w:jc w:val="center"/>
        </w:trPr>
        <w:tc>
          <w:tcPr>
            <w:tcW w:w="7426" w:type="dxa"/>
            <w:shd w:val="clear" w:color="auto" w:fill="auto"/>
          </w:tcPr>
          <w:p>
            <w:pPr>
              <w:rPr>
                <w:rFonts w:ascii="仿宋" w:eastAsia="仿宋"/>
                <w:b/>
                <w:color w:val="auto"/>
                <w:sz w:val="32"/>
                <w:szCs w:val="32"/>
              </w:rPr>
            </w:pPr>
            <w:r>
              <w:rPr>
                <w:rFonts w:hint="eastAsia" w:ascii="仿宋" w:eastAsia="仿宋"/>
                <w:b/>
                <w:color w:val="auto"/>
                <w:sz w:val="32"/>
                <w:szCs w:val="32"/>
              </w:rPr>
              <w:t>姚志勇</w:t>
            </w:r>
          </w:p>
          <w:p>
            <w:pPr>
              <w:ind w:firstLine="480"/>
              <w:rPr>
                <w:rFonts w:ascii="仿宋" w:eastAsia="仿宋"/>
                <w:b/>
                <w:color w:val="auto"/>
                <w:sz w:val="32"/>
                <w:szCs w:val="32"/>
              </w:rPr>
            </w:pPr>
            <w:r>
              <w:rPr>
                <w:rFonts w:hint="eastAsia" w:ascii="仿宋" w:eastAsia="仿宋"/>
                <w:b/>
                <w:color w:val="auto"/>
                <w:sz w:val="32"/>
                <w:szCs w:val="32"/>
              </w:rPr>
              <w:t xml:space="preserve"> </w:t>
            </w:r>
            <w:r>
              <w:rPr>
                <w:rFonts w:hint="eastAsia" w:ascii="仿宋" w:eastAsia="仿宋"/>
                <w:color w:val="auto"/>
                <w:sz w:val="24"/>
                <w:szCs w:val="24"/>
              </w:rPr>
              <w:t>制药高级工程师（教授级）。深圳健元创始人、总经理。深圳市坪山区政协常委、深圳市坪山区工商联（总商会）常委、坪山区党外知识分子联谊会理事会常务理事。86级沈阳药学院药物化学硕士，中国人民大学商学院MBA。国家高技术产业化示范工程”——多肽药物规模制备技术及新型多肽药物产业化项目主要负责人；国家“十五”重大科技专项——抗内毒素小分子多肽新药的研究开发课题组副组长，国家 “863”计划项目---抗菌/抗内毒素模拟肽（BNEP）新药的临床前研究项目课题组副组长；国家级火炬计划——生物活性多肽项目负责人；深圳市工程技术研究开发中心组建项目负责人；深圳市高技术产业化示范工程——生物活性多肽系列产品产业化项目负责人。</w:t>
            </w:r>
          </w:p>
        </w:tc>
        <w:tc>
          <w:tcPr>
            <w:tcW w:w="2406" w:type="dxa"/>
            <w:shd w:val="clear" w:color="auto" w:fill="auto"/>
          </w:tcPr>
          <w:p>
            <w:pPr>
              <w:rPr>
                <w:rFonts w:ascii="仿宋" w:eastAsia="仿宋"/>
                <w:color w:val="auto"/>
                <w:sz w:val="24"/>
                <w:szCs w:val="24"/>
              </w:rPr>
            </w:pPr>
          </w:p>
          <w:p>
            <w:pPr>
              <w:jc w:val="both"/>
              <w:rPr>
                <w:rFonts w:ascii="仿宋" w:eastAsia="仿宋"/>
                <w:color w:val="auto"/>
                <w:sz w:val="24"/>
                <w:szCs w:val="24"/>
              </w:rPr>
            </w:pPr>
            <w:r>
              <w:rPr>
                <w:rFonts w:ascii="仿宋" w:eastAsia="仿宋"/>
                <w:color w:val="auto"/>
                <w:sz w:val="24"/>
                <w:szCs w:val="24"/>
              </w:rPr>
              <w:drawing>
                <wp:inline distT="0" distB="0" distL="0" distR="0">
                  <wp:extent cx="1358265" cy="1665605"/>
                  <wp:effectExtent l="0" t="0" r="13335" b="10795"/>
                  <wp:docPr id="5" name="图片 2" descr="姚志勇.jpg"/>
                  <wp:cNvGraphicFramePr/>
                  <a:graphic xmlns:a="http://schemas.openxmlformats.org/drawingml/2006/main">
                    <a:graphicData uri="http://schemas.openxmlformats.org/drawingml/2006/picture">
                      <pic:pic xmlns:pic="http://schemas.openxmlformats.org/drawingml/2006/picture">
                        <pic:nvPicPr>
                          <pic:cNvPr id="5" name="图片 2" descr="姚志勇.jpg"/>
                          <pic:cNvPicPr/>
                        </pic:nvPicPr>
                        <pic:blipFill>
                          <a:blip r:embed="rId13" cstate="print"/>
                          <a:stretch>
                            <a:fillRect/>
                          </a:stretch>
                        </pic:blipFill>
                        <pic:spPr>
                          <a:xfrm>
                            <a:off x="0" y="0"/>
                            <a:ext cx="1359265" cy="16668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3" w:hRule="atLeast"/>
          <w:jc w:val="center"/>
        </w:trPr>
        <w:tc>
          <w:tcPr>
            <w:tcW w:w="7426" w:type="dxa"/>
            <w:shd w:val="clear" w:color="auto" w:fill="auto"/>
          </w:tcPr>
          <w:p>
            <w:pPr>
              <w:rPr>
                <w:rFonts w:ascii="仿宋" w:eastAsia="仿宋"/>
                <w:b/>
                <w:color w:val="auto"/>
                <w:sz w:val="32"/>
                <w:szCs w:val="32"/>
              </w:rPr>
            </w:pPr>
            <w:r>
              <w:rPr>
                <w:rFonts w:hint="eastAsia" w:ascii="仿宋" w:eastAsia="仿宋"/>
                <w:b/>
                <w:color w:val="auto"/>
                <w:sz w:val="32"/>
                <w:szCs w:val="32"/>
              </w:rPr>
              <w:t>文永均</w:t>
            </w:r>
          </w:p>
          <w:p>
            <w:pPr>
              <w:ind w:firstLine="480" w:firstLineChars="200"/>
              <w:rPr>
                <w:rFonts w:ascii="仿宋" w:eastAsia="仿宋"/>
                <w:b/>
                <w:color w:val="auto"/>
                <w:sz w:val="32"/>
                <w:szCs w:val="32"/>
              </w:rPr>
            </w:pPr>
            <w:r>
              <w:rPr>
                <w:rFonts w:hint="eastAsia" w:ascii="仿宋" w:eastAsia="仿宋"/>
                <w:color w:val="auto"/>
                <w:sz w:val="24"/>
                <w:szCs w:val="24"/>
              </w:rPr>
              <w:t>历任海南中和集团药物研究所所长、成都地奥制药集团药物研究所研究室主任；中国生化制药工业协会专家委员会委员。1991年-1997年主持开发了我国第1个经SFDA批准的多肽药物---胸腺五肽；1997-2003年主持开发了我国第2个经SFDA批准的多肽药物---胸腺法新；2003-2007年主持开发了我国第3个经SFDA批准的多肽药物---生长抑素；2008年获得第10届中国国际多肽会议颁发的&lt;多肽应用杰出贡献奖&gt;；2012年获得第12届中国国际多肽会议颁发的&lt;多肽应用杰出贡献奖&gt;；2016年获得第2届全国多肽药物研发及规模化生产前沿技术交流会颁发的&lt;杰出人才奖&gt; ；获得30多项发明专利。</w:t>
            </w:r>
          </w:p>
        </w:tc>
        <w:tc>
          <w:tcPr>
            <w:tcW w:w="2406" w:type="dxa"/>
            <w:shd w:val="clear" w:color="auto" w:fill="auto"/>
          </w:tcPr>
          <w:p>
            <w:pPr>
              <w:rPr>
                <w:rFonts w:ascii="仿宋" w:eastAsia="仿宋"/>
                <w:color w:val="auto"/>
                <w:sz w:val="24"/>
                <w:szCs w:val="24"/>
              </w:rPr>
            </w:pPr>
          </w:p>
          <w:p>
            <w:pPr>
              <w:jc w:val="center"/>
              <w:rPr>
                <w:rFonts w:ascii="仿宋" w:eastAsia="仿宋"/>
                <w:color w:val="auto"/>
                <w:sz w:val="24"/>
                <w:szCs w:val="24"/>
              </w:rPr>
            </w:pPr>
            <w:r>
              <w:rPr>
                <w:rFonts w:ascii="仿宋" w:eastAsia="仿宋"/>
                <w:color w:val="auto"/>
                <w:sz w:val="24"/>
                <w:szCs w:val="24"/>
              </w:rPr>
              <w:drawing>
                <wp:inline distT="0" distB="0" distL="0" distR="0">
                  <wp:extent cx="1358265" cy="1649095"/>
                  <wp:effectExtent l="0" t="0" r="13335" b="825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noChangeArrowheads="1"/>
                          </pic:cNvPicPr>
                        </pic:nvPicPr>
                        <pic:blipFill>
                          <a:blip r:embed="rId14" cstate="print"/>
                          <a:srcRect/>
                          <a:stretch>
                            <a:fillRect/>
                          </a:stretch>
                        </pic:blipFill>
                        <pic:spPr>
                          <a:xfrm>
                            <a:off x="0" y="0"/>
                            <a:ext cx="1359582" cy="1650905"/>
                          </a:xfrm>
                          <a:prstGeom prst="rect">
                            <a:avLst/>
                          </a:prstGeom>
                          <a:noFill/>
                          <a:ln w="9525">
                            <a:noFill/>
                            <a:miter lim="800000"/>
                            <a:headEnd/>
                            <a:tailEnd/>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6" w:hRule="atLeast"/>
          <w:jc w:val="center"/>
        </w:trPr>
        <w:tc>
          <w:tcPr>
            <w:tcW w:w="7426" w:type="dxa"/>
            <w:shd w:val="clear" w:color="auto" w:fill="auto"/>
          </w:tcPr>
          <w:p>
            <w:pPr>
              <w:rPr>
                <w:rFonts w:ascii="仿宋" w:eastAsia="仿宋"/>
                <w:b/>
                <w:color w:val="auto"/>
                <w:sz w:val="32"/>
                <w:szCs w:val="32"/>
              </w:rPr>
            </w:pPr>
            <w:r>
              <w:rPr>
                <w:rFonts w:hint="eastAsia" w:ascii="仿宋" w:eastAsia="仿宋"/>
                <w:b/>
                <w:color w:val="auto"/>
                <w:sz w:val="32"/>
                <w:szCs w:val="32"/>
              </w:rPr>
              <w:t>姜建军</w:t>
            </w:r>
          </w:p>
          <w:p>
            <w:pPr>
              <w:ind w:firstLine="480" w:firstLineChars="200"/>
              <w:rPr>
                <w:rFonts w:hint="eastAsia" w:ascii="仿宋" w:eastAsia="仿宋"/>
                <w:color w:val="auto"/>
                <w:sz w:val="24"/>
                <w:szCs w:val="24"/>
              </w:rPr>
            </w:pPr>
            <w:r>
              <w:rPr>
                <w:rFonts w:hint="eastAsia" w:ascii="仿宋" w:eastAsia="仿宋"/>
                <w:color w:val="auto"/>
                <w:sz w:val="24"/>
                <w:szCs w:val="24"/>
              </w:rPr>
              <w:t>博士，1994年毕业于美国宾夕法尼亚大学，2018年8月底加盟诺泰生物（Sinopep），任多肽事业部总经理，带来了</w:t>
            </w:r>
            <w:r>
              <w:rPr>
                <w:rFonts w:hint="eastAsia" w:ascii="仿宋" w:eastAsia="仿宋"/>
                <w:color w:val="auto"/>
                <w:sz w:val="24"/>
                <w:szCs w:val="24"/>
                <w:lang w:val="en-US" w:eastAsia="zh-CN"/>
              </w:rPr>
              <w:t>24</w:t>
            </w:r>
            <w:r>
              <w:rPr>
                <w:rFonts w:hint="eastAsia" w:ascii="仿宋" w:eastAsia="仿宋"/>
                <w:color w:val="auto"/>
                <w:sz w:val="24"/>
                <w:szCs w:val="24"/>
              </w:rPr>
              <w:t>年多肽GMP生产管理经历。2015年4月到2018年8月三年期间，在海南双成药业(HNSP)，任多肽原料药副总。先后在美国雅培任职（Abbott Labs,14年），在美国多肽公司(APC,7年)和美国希施生物科技有限公司（CS BiO，1.5年）任GMP生产副总，先后组织过多个多肽药物的开发和GMP生产，在多肽药物研发和生产领域有丰富的经验。</w:t>
            </w:r>
          </w:p>
        </w:tc>
        <w:tc>
          <w:tcPr>
            <w:tcW w:w="2406" w:type="dxa"/>
            <w:shd w:val="clear" w:color="auto" w:fill="auto"/>
          </w:tcPr>
          <w:p>
            <w:pPr>
              <w:jc w:val="center"/>
              <w:rPr>
                <w:rFonts w:ascii="仿宋" w:eastAsia="仿宋"/>
                <w:color w:val="auto"/>
                <w:sz w:val="24"/>
                <w:szCs w:val="24"/>
              </w:rPr>
            </w:pPr>
          </w:p>
          <w:p>
            <w:pPr>
              <w:jc w:val="center"/>
              <w:rPr>
                <w:rFonts w:ascii="仿宋" w:eastAsia="仿宋"/>
                <w:color w:val="auto"/>
                <w:sz w:val="24"/>
                <w:szCs w:val="24"/>
              </w:rPr>
            </w:pPr>
            <w:r>
              <w:rPr>
                <w:rFonts w:ascii="仿宋" w:eastAsia="仿宋"/>
                <w:color w:val="auto"/>
                <w:sz w:val="24"/>
                <w:szCs w:val="24"/>
              </w:rPr>
              <w:drawing>
                <wp:inline distT="0" distB="0" distL="0" distR="0">
                  <wp:extent cx="1304290" cy="1394460"/>
                  <wp:effectExtent l="0" t="0" r="10160" b="15240"/>
                  <wp:docPr id="6" name="Picture 2" descr="C:\Users\王芳芳\Documents\Tencent Files\422415419\FileRecv\MobileFile\IMG_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王芳芳\Documents\Tencent Files\422415419\FileRecv\MobileFile\IMG_5145.JPG"/>
                          <pic:cNvPicPr>
                            <a:picLocks noChangeAspect="1" noChangeArrowheads="1"/>
                          </pic:cNvPicPr>
                        </pic:nvPicPr>
                        <pic:blipFill>
                          <a:blip r:embed="rId15"/>
                          <a:srcRect/>
                          <a:stretch>
                            <a:fillRect/>
                          </a:stretch>
                        </pic:blipFill>
                        <pic:spPr>
                          <a:xfrm>
                            <a:off x="0" y="0"/>
                            <a:ext cx="1310660" cy="1401422"/>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8" w:hRule="atLeast"/>
          <w:jc w:val="center"/>
        </w:trPr>
        <w:tc>
          <w:tcPr>
            <w:tcW w:w="7426" w:type="dxa"/>
            <w:shd w:val="clear" w:color="auto" w:fill="auto"/>
          </w:tcPr>
          <w:p>
            <w:pPr>
              <w:jc w:val="left"/>
              <w:rPr>
                <w:rFonts w:ascii="仿宋" w:eastAsia="仿宋"/>
                <w:color w:val="auto"/>
                <w:sz w:val="24"/>
                <w:szCs w:val="24"/>
              </w:rPr>
            </w:pPr>
            <w:r>
              <w:rPr>
                <w:rFonts w:hint="eastAsia" w:ascii="仿宋" w:eastAsia="仿宋"/>
                <w:b/>
                <w:color w:val="auto"/>
                <w:sz w:val="32"/>
                <w:szCs w:val="32"/>
              </w:rPr>
              <w:t>寇晓康</w:t>
            </w:r>
          </w:p>
          <w:p>
            <w:pPr>
              <w:ind w:firstLine="480" w:firstLineChars="200"/>
              <w:jc w:val="left"/>
              <w:rPr>
                <w:rFonts w:ascii="仿宋" w:eastAsia="仿宋"/>
                <w:color w:val="auto"/>
                <w:sz w:val="24"/>
                <w:szCs w:val="24"/>
              </w:rPr>
            </w:pPr>
            <w:r>
              <w:rPr>
                <w:rFonts w:hint="eastAsia" w:ascii="仿宋" w:eastAsia="仿宋"/>
                <w:color w:val="auto"/>
                <w:sz w:val="24"/>
                <w:szCs w:val="24"/>
              </w:rPr>
              <w:t>西安蓝晓科技总经理，两次国家科技进步二等奖获得者、国务院享受政府特殊津贴专家，《离子交换与吸附》编委，中国离子交换树脂行业委员会副理事长、行业领军人物，陕西省功能高分子吸附分离工程技术研究中心主任及技术带头人，陕西省“三秦人才”。</w:t>
            </w:r>
          </w:p>
        </w:tc>
        <w:tc>
          <w:tcPr>
            <w:tcW w:w="2406" w:type="dxa"/>
            <w:shd w:val="clear" w:color="auto" w:fill="auto"/>
          </w:tcPr>
          <w:p>
            <w:pPr>
              <w:jc w:val="center"/>
              <w:rPr>
                <w:rFonts w:ascii="仿宋" w:eastAsia="仿宋"/>
                <w:color w:val="auto"/>
                <w:sz w:val="24"/>
                <w:szCs w:val="24"/>
              </w:rPr>
            </w:pPr>
            <w:r>
              <w:rPr>
                <w:rFonts w:ascii="仿宋" w:eastAsia="仿宋"/>
                <w:color w:val="auto"/>
                <w:sz w:val="24"/>
                <w:szCs w:val="24"/>
              </w:rPr>
              <w:drawing>
                <wp:inline distT="0" distB="0" distL="0" distR="0">
                  <wp:extent cx="1325880" cy="1667510"/>
                  <wp:effectExtent l="0" t="0" r="7620" b="8890"/>
                  <wp:docPr id="7" name="图片 2" descr="C:\Users\王芳芳\Desktop\寇晓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王芳芳\Desktop\寇晓康.jpg"/>
                          <pic:cNvPicPr>
                            <a:picLocks noChangeAspect="1" noChangeArrowheads="1"/>
                          </pic:cNvPicPr>
                        </pic:nvPicPr>
                        <pic:blipFill>
                          <a:blip r:embed="rId16" cstate="print"/>
                          <a:srcRect/>
                          <a:stretch>
                            <a:fillRect/>
                          </a:stretch>
                        </pic:blipFill>
                        <pic:spPr>
                          <a:xfrm>
                            <a:off x="0" y="0"/>
                            <a:ext cx="1325880" cy="166751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7426" w:type="dxa"/>
            <w:shd w:val="clear" w:color="auto" w:fill="auto"/>
          </w:tcPr>
          <w:p>
            <w:pPr>
              <w:widowControl/>
              <w:jc w:val="left"/>
              <w:rPr>
                <w:rFonts w:ascii="仿宋" w:eastAsia="仿宋"/>
                <w:b/>
                <w:color w:val="auto"/>
                <w:sz w:val="32"/>
                <w:szCs w:val="32"/>
              </w:rPr>
            </w:pPr>
            <w:r>
              <w:rPr>
                <w:rFonts w:hint="eastAsia" w:ascii="仿宋" w:eastAsia="仿宋"/>
                <w:b/>
                <w:color w:val="auto"/>
                <w:sz w:val="32"/>
                <w:szCs w:val="32"/>
              </w:rPr>
              <w:t>余品香</w:t>
            </w:r>
          </w:p>
          <w:p>
            <w:pPr>
              <w:widowControl/>
              <w:ind w:firstLine="600" w:firstLineChars="250"/>
              <w:jc w:val="left"/>
              <w:rPr>
                <w:rFonts w:hint="eastAsia" w:ascii="仿宋" w:eastAsia="仿宋"/>
                <w:color w:val="auto"/>
                <w:sz w:val="24"/>
                <w:szCs w:val="24"/>
              </w:rPr>
            </w:pPr>
            <w:r>
              <w:rPr>
                <w:rFonts w:hint="eastAsia" w:ascii="仿宋" w:eastAsia="仿宋"/>
                <w:color w:val="auto"/>
                <w:sz w:val="24"/>
                <w:szCs w:val="24"/>
              </w:rPr>
              <w:t>加拿大国籍，有机化学硕士、工程师（CQE）、审计师（CQA）。1998年获得中山大学有机化学专业硕士学位。1999年至2005年任加拿大Novocol Pharmaceutical和Apotex Pharmachem Inc.实验室主管、质量管理部药政/审计专家；PINXIANG YU女士2005年12月回国后曾担任美资企业凯默斯医药科技有限公司药政及GMP符合总监、美国洛比化学青岛公司总经理等职务。2010年至今在深圳翰宇药业股份有限公司工作，任副总裁、翰宇药业（武汉）有限公司总经理，2019年开始任深圳翰宇药业股份有限公司执行总裁、翰宇生物科技（大理）有限公司总经理。在翰宇药业任职期间相继担任坪山募投项目建设主要负责人、FDA认证项目负责人、欧盟认证项目负责人、武汉项目建设负责人、大理项目建设负责人。</w:t>
            </w:r>
          </w:p>
        </w:tc>
        <w:tc>
          <w:tcPr>
            <w:tcW w:w="2406" w:type="dxa"/>
            <w:shd w:val="clear" w:color="auto" w:fill="auto"/>
          </w:tcPr>
          <w:p>
            <w:pPr>
              <w:rPr>
                <w:rFonts w:ascii="仿宋" w:eastAsia="仿宋"/>
                <w:color w:val="auto"/>
                <w:sz w:val="24"/>
                <w:szCs w:val="24"/>
              </w:rPr>
            </w:pPr>
          </w:p>
          <w:p>
            <w:pPr>
              <w:rPr>
                <w:rFonts w:ascii="仿宋" w:eastAsia="仿宋"/>
                <w:color w:val="auto"/>
                <w:sz w:val="24"/>
                <w:szCs w:val="24"/>
              </w:rPr>
            </w:pPr>
          </w:p>
          <w:p>
            <w:pPr>
              <w:rPr>
                <w:rFonts w:ascii="仿宋" w:eastAsia="仿宋"/>
                <w:color w:val="auto"/>
                <w:sz w:val="24"/>
                <w:szCs w:val="24"/>
              </w:rPr>
            </w:pPr>
            <w:r>
              <w:rPr>
                <w:rFonts w:ascii="仿宋" w:eastAsia="仿宋"/>
                <w:color w:val="auto"/>
                <w:sz w:val="24"/>
                <w:szCs w:val="24"/>
              </w:rPr>
              <w:drawing>
                <wp:inline distT="0" distB="0" distL="0" distR="0">
                  <wp:extent cx="1384935" cy="1887220"/>
                  <wp:effectExtent l="0" t="0" r="5715" b="17780"/>
                  <wp:docPr id="3" name="图片 10" descr="C:\Users\王芳芳\Desktop\嘉宾简介\嘉宾照片\余品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C:\Users\王芳芳\Desktop\嘉宾简介\嘉宾照片\余品香.jpg"/>
                          <pic:cNvPicPr>
                            <a:picLocks noChangeAspect="1" noChangeArrowheads="1"/>
                          </pic:cNvPicPr>
                        </pic:nvPicPr>
                        <pic:blipFill>
                          <a:blip r:embed="rId17" cstate="print"/>
                          <a:srcRect/>
                          <a:stretch>
                            <a:fillRect/>
                          </a:stretch>
                        </pic:blipFill>
                        <pic:spPr>
                          <a:xfrm>
                            <a:off x="0" y="0"/>
                            <a:ext cx="1384935" cy="188722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4" w:hRule="atLeast"/>
          <w:jc w:val="center"/>
        </w:trPr>
        <w:tc>
          <w:tcPr>
            <w:tcW w:w="7426" w:type="dxa"/>
            <w:shd w:val="clear" w:color="auto" w:fill="auto"/>
          </w:tcPr>
          <w:p>
            <w:pPr>
              <w:widowControl/>
              <w:jc w:val="left"/>
              <w:rPr>
                <w:rFonts w:ascii="仿宋" w:eastAsia="仿宋"/>
                <w:b/>
                <w:color w:val="auto"/>
                <w:sz w:val="32"/>
                <w:szCs w:val="32"/>
              </w:rPr>
            </w:pPr>
            <w:r>
              <w:rPr>
                <w:rFonts w:hint="eastAsia" w:ascii="仿宋" w:eastAsia="仿宋"/>
                <w:b/>
                <w:color w:val="auto"/>
                <w:sz w:val="32"/>
                <w:szCs w:val="32"/>
              </w:rPr>
              <w:t>田长麟</w:t>
            </w:r>
          </w:p>
          <w:p>
            <w:pPr>
              <w:widowControl/>
              <w:ind w:firstLine="480"/>
              <w:jc w:val="left"/>
              <w:rPr>
                <w:rFonts w:hint="eastAsia" w:ascii="仿宋" w:eastAsia="仿宋"/>
                <w:color w:val="auto"/>
                <w:sz w:val="24"/>
                <w:szCs w:val="24"/>
              </w:rPr>
            </w:pPr>
            <w:r>
              <w:rPr>
                <w:rFonts w:hint="eastAsia" w:ascii="仿宋" w:eastAsia="仿宋"/>
                <w:color w:val="auto"/>
                <w:sz w:val="24"/>
                <w:szCs w:val="24"/>
              </w:rPr>
              <w:t>博士、教授、科技部重点研发计划首席科学家。中国科学技术大学生命学院分子与细胞生物学系系主</w:t>
            </w:r>
            <w:bookmarkStart w:id="0" w:name="_GoBack"/>
            <w:bookmarkEnd w:id="0"/>
            <w:r>
              <w:rPr>
                <w:rFonts w:hint="eastAsia" w:ascii="仿宋" w:eastAsia="仿宋"/>
                <w:color w:val="auto"/>
                <w:sz w:val="24"/>
                <w:szCs w:val="24"/>
              </w:rPr>
              <w:t>任，合肥微尺度物质科学国家研究中心研究员。中国毒素学会常务理事，中国化学会生物物理化学专业委员会副主任。主要研究兴趣为重要药物靶标膜蛋白结构、动态、功能机制研究，及靶向离子通道/受体的多肽药物研发。</w:t>
            </w:r>
          </w:p>
        </w:tc>
        <w:tc>
          <w:tcPr>
            <w:tcW w:w="2406" w:type="dxa"/>
            <w:shd w:val="clear" w:color="auto" w:fill="auto"/>
          </w:tcPr>
          <w:p>
            <w:pPr>
              <w:widowControl/>
              <w:jc w:val="center"/>
              <w:rPr>
                <w:rFonts w:ascii="仿宋" w:eastAsia="仿宋"/>
                <w:color w:val="auto"/>
                <w:sz w:val="24"/>
                <w:szCs w:val="24"/>
              </w:rPr>
            </w:pPr>
            <w:r>
              <w:rPr>
                <w:rFonts w:ascii="仿宋" w:eastAsia="仿宋"/>
                <w:color w:val="auto"/>
                <w:sz w:val="24"/>
                <w:szCs w:val="24"/>
              </w:rPr>
              <w:drawing>
                <wp:inline distT="0" distB="0" distL="0" distR="0">
                  <wp:extent cx="1291590" cy="1487805"/>
                  <wp:effectExtent l="0" t="0" r="3810" b="17145"/>
                  <wp:docPr id="14" name="图片 1" descr="田长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田长麟.jpg"/>
                          <pic:cNvPicPr>
                            <a:picLocks noChangeAspect="1"/>
                          </pic:cNvPicPr>
                        </pic:nvPicPr>
                        <pic:blipFill>
                          <a:blip r:embed="rId18" cstate="print"/>
                          <a:stretch>
                            <a:fillRect/>
                          </a:stretch>
                        </pic:blipFill>
                        <pic:spPr>
                          <a:xfrm>
                            <a:off x="0" y="0"/>
                            <a:ext cx="1291590" cy="14878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26" w:type="dxa"/>
            <w:shd w:val="clear" w:color="auto" w:fill="auto"/>
          </w:tcPr>
          <w:p>
            <w:pPr>
              <w:widowControl/>
              <w:jc w:val="left"/>
              <w:rPr>
                <w:rFonts w:ascii="仿宋" w:eastAsia="仿宋"/>
                <w:b/>
                <w:color w:val="auto"/>
                <w:sz w:val="32"/>
                <w:szCs w:val="32"/>
              </w:rPr>
            </w:pPr>
            <w:r>
              <w:rPr>
                <w:rFonts w:hint="eastAsia" w:ascii="仿宋" w:eastAsia="仿宋"/>
                <w:b/>
                <w:color w:val="auto"/>
                <w:sz w:val="32"/>
                <w:szCs w:val="32"/>
              </w:rPr>
              <w:t xml:space="preserve">何润泽 </w:t>
            </w:r>
          </w:p>
          <w:p>
            <w:pPr>
              <w:widowControl/>
              <w:ind w:firstLine="480" w:firstLineChars="200"/>
              <w:jc w:val="left"/>
              <w:rPr>
                <w:rFonts w:hint="default" w:ascii="仿宋" w:eastAsia="仿宋"/>
                <w:color w:val="auto"/>
                <w:sz w:val="24"/>
                <w:szCs w:val="24"/>
                <w:lang w:val="en-US" w:eastAsia="zh-CN"/>
              </w:rPr>
            </w:pPr>
            <w:r>
              <w:rPr>
                <w:rFonts w:hint="eastAsia" w:ascii="仿宋" w:eastAsia="仿宋"/>
                <w:color w:val="auto"/>
                <w:sz w:val="24"/>
                <w:szCs w:val="24"/>
              </w:rPr>
              <w:t>博士,</w:t>
            </w:r>
            <w:r>
              <w:rPr>
                <w:rFonts w:hint="eastAsia" w:ascii="仿宋" w:eastAsia="仿宋"/>
                <w:color w:val="auto"/>
                <w:sz w:val="24"/>
                <w:szCs w:val="24"/>
                <w:lang w:val="en-US" w:eastAsia="zh-CN"/>
              </w:rPr>
              <w:t>上海胜泽泰</w:t>
            </w:r>
            <w:r>
              <w:rPr>
                <w:rFonts w:hint="eastAsia" w:ascii="仿宋" w:eastAsia="仿宋"/>
                <w:color w:val="auto"/>
                <w:sz w:val="24"/>
                <w:szCs w:val="24"/>
              </w:rPr>
              <w:t>( Space Peptides)</w:t>
            </w:r>
            <w:r>
              <w:rPr>
                <w:rFonts w:hint="eastAsia" w:ascii="仿宋" w:eastAsia="仿宋"/>
                <w:color w:val="auto"/>
                <w:sz w:val="24"/>
                <w:szCs w:val="24"/>
                <w:lang w:val="en-US" w:eastAsia="zh-CN"/>
              </w:rPr>
              <w:t>医药科技有限公司CEO，</w:t>
            </w:r>
            <w:r>
              <w:rPr>
                <w:rFonts w:hint="eastAsia" w:ascii="仿宋" w:eastAsia="仿宋"/>
                <w:color w:val="auto"/>
                <w:sz w:val="24"/>
                <w:szCs w:val="24"/>
              </w:rPr>
              <w:t>瑞士伯尔尼大学</w:t>
            </w:r>
            <w:r>
              <w:rPr>
                <w:rFonts w:hint="eastAsia" w:ascii="仿宋" w:eastAsia="仿宋"/>
                <w:color w:val="auto"/>
                <w:sz w:val="24"/>
                <w:szCs w:val="24"/>
                <w:lang w:val="en-US" w:eastAsia="zh-CN"/>
              </w:rPr>
              <w:t>化学与生物化学院 博士后副研究员，厦门大学固体表面物理化学国家重点实验室 助理研究员</w:t>
            </w:r>
            <w:r>
              <w:rPr>
                <w:rFonts w:hint="eastAsia" w:ascii="仿宋" w:eastAsia="仿宋"/>
                <w:color w:val="auto"/>
                <w:sz w:val="24"/>
                <w:szCs w:val="24"/>
              </w:rPr>
              <w:t>,</w:t>
            </w:r>
            <w:r>
              <w:rPr>
                <w:rFonts w:hint="eastAsia" w:ascii="仿宋" w:eastAsia="仿宋"/>
                <w:color w:val="auto"/>
                <w:sz w:val="24"/>
                <w:szCs w:val="24"/>
                <w:lang w:val="en-US" w:eastAsia="zh-CN"/>
              </w:rPr>
              <w:t>武汉大学化学学士，瑞士尼泊尔大学硕士、博士，从事多肽药物化学、多肽药物设计7年研发经验。</w:t>
            </w:r>
          </w:p>
        </w:tc>
        <w:tc>
          <w:tcPr>
            <w:tcW w:w="2406" w:type="dxa"/>
            <w:shd w:val="clear" w:color="auto" w:fill="auto"/>
          </w:tcPr>
          <w:p>
            <w:pPr>
              <w:widowControl/>
              <w:jc w:val="center"/>
              <w:rPr>
                <w:rFonts w:ascii="仿宋" w:eastAsia="仿宋"/>
                <w:color w:val="auto"/>
                <w:sz w:val="24"/>
                <w:szCs w:val="24"/>
              </w:rPr>
            </w:pPr>
            <w:r>
              <w:rPr>
                <w:rFonts w:ascii="仿宋" w:eastAsia="仿宋"/>
                <w:color w:val="auto"/>
                <w:sz w:val="24"/>
                <w:szCs w:val="24"/>
              </w:rPr>
              <w:drawing>
                <wp:inline distT="0" distB="0" distL="0" distR="0">
                  <wp:extent cx="1102360" cy="1583690"/>
                  <wp:effectExtent l="0" t="0" r="2540" b="16510"/>
                  <wp:docPr id="9" name="图片 1" descr="C:\Users\王芳芳\AppData\Roaming\Tencent\Users\422415419\QQ\WinTemp\RichOle\4SH{KD8]S2M~R4F18%HE9W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王芳芳\AppData\Roaming\Tencent\Users\422415419\QQ\WinTemp\RichOle\4SH{KD8]S2M~R4F18%HE9WT.png"/>
                          <pic:cNvPicPr>
                            <a:picLocks noChangeAspect="1" noChangeArrowheads="1"/>
                          </pic:cNvPicPr>
                        </pic:nvPicPr>
                        <pic:blipFill>
                          <a:blip r:embed="rId19"/>
                          <a:srcRect/>
                          <a:stretch>
                            <a:fillRect/>
                          </a:stretch>
                        </pic:blipFill>
                        <pic:spPr>
                          <a:xfrm>
                            <a:off x="0" y="0"/>
                            <a:ext cx="1102360" cy="1583690"/>
                          </a:xfrm>
                          <a:prstGeom prst="rect">
                            <a:avLst/>
                          </a:prstGeom>
                          <a:noFill/>
                          <a:ln w="9525">
                            <a:noFill/>
                            <a:miter lim="800000"/>
                            <a:headEnd/>
                            <a:tailEnd/>
                          </a:ln>
                        </pic:spPr>
                      </pic:pic>
                    </a:graphicData>
                  </a:graphic>
                </wp:inline>
              </w:drawing>
            </w:r>
          </w:p>
          <w:p>
            <w:pPr>
              <w:widowControl/>
              <w:jc w:val="center"/>
              <w:rPr>
                <w:rFonts w:asci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5" w:hRule="atLeast"/>
          <w:jc w:val="center"/>
        </w:trPr>
        <w:tc>
          <w:tcPr>
            <w:tcW w:w="7426" w:type="dxa"/>
            <w:shd w:val="clear" w:color="auto" w:fill="auto"/>
          </w:tcPr>
          <w:p>
            <w:pPr>
              <w:widowControl/>
              <w:jc w:val="left"/>
              <w:rPr>
                <w:rFonts w:ascii="仿宋" w:eastAsia="仿宋"/>
                <w:b/>
                <w:color w:val="auto"/>
                <w:sz w:val="32"/>
                <w:szCs w:val="32"/>
              </w:rPr>
            </w:pPr>
            <w:r>
              <w:rPr>
                <w:rFonts w:hint="eastAsia" w:ascii="仿宋" w:eastAsia="仿宋"/>
                <w:b/>
                <w:color w:val="auto"/>
                <w:sz w:val="32"/>
                <w:szCs w:val="32"/>
              </w:rPr>
              <w:t>方国永</w:t>
            </w:r>
          </w:p>
          <w:p>
            <w:pPr>
              <w:widowControl/>
              <w:ind w:firstLine="480" w:firstLineChars="200"/>
              <w:jc w:val="left"/>
              <w:rPr>
                <w:rFonts w:ascii="仿宋" w:eastAsia="仿宋"/>
                <w:b/>
                <w:color w:val="auto"/>
                <w:sz w:val="32"/>
                <w:szCs w:val="32"/>
              </w:rPr>
            </w:pPr>
            <w:r>
              <w:rPr>
                <w:rFonts w:hint="eastAsia" w:ascii="仿宋" w:eastAsia="仿宋"/>
                <w:color w:val="auto"/>
                <w:sz w:val="24"/>
                <w:szCs w:val="24"/>
              </w:rPr>
              <w:t>药明康德</w:t>
            </w:r>
            <w:r>
              <w:rPr>
                <w:rFonts w:hint="eastAsia" w:ascii="仿宋" w:eastAsia="仿宋"/>
                <w:color w:val="auto"/>
                <w:sz w:val="24"/>
                <w:szCs w:val="24"/>
                <w:lang w:eastAsia="zh-CN"/>
              </w:rPr>
              <w:t>集团公司寡核苷酸和多肽业务部负责人，</w:t>
            </w:r>
            <w:r>
              <w:rPr>
                <w:rFonts w:hint="eastAsia" w:ascii="仿宋" w:eastAsia="仿宋"/>
                <w:color w:val="auto"/>
                <w:sz w:val="24"/>
                <w:szCs w:val="24"/>
              </w:rPr>
              <w:t>本科毕业于北京大学医学部药学院，拥有美国内布拉斯加州克瑞顿大学医学院多肽化学硕士和加州大学洛杉矶分校安德森商学院的工商管理硕士学位。曾在多肽业界CMO领军公司之一的Polypeptide Group（PPL）加州洛杉矶分公司就职，在PPL工作的12年间，带领的团队直接接触和开发过目前国内外多个上市多肽药物的原料药工艺研发、工艺优化、工艺放大和大规模生产任务。</w:t>
            </w:r>
          </w:p>
        </w:tc>
        <w:tc>
          <w:tcPr>
            <w:tcW w:w="2406" w:type="dxa"/>
            <w:shd w:val="clear" w:color="auto" w:fill="auto"/>
          </w:tcPr>
          <w:p>
            <w:pPr>
              <w:widowControl/>
              <w:jc w:val="center"/>
              <w:rPr>
                <w:rFonts w:ascii="仿宋" w:eastAsia="仿宋"/>
                <w:color w:val="auto"/>
                <w:sz w:val="24"/>
                <w:szCs w:val="24"/>
              </w:rPr>
            </w:pPr>
            <w:r>
              <w:rPr>
                <w:rFonts w:ascii="仿宋" w:eastAsia="仿宋"/>
                <w:color w:val="auto"/>
                <w:sz w:val="24"/>
                <w:szCs w:val="24"/>
              </w:rPr>
              <w:drawing>
                <wp:inline distT="0" distB="0" distL="0" distR="0">
                  <wp:extent cx="1212215" cy="1777365"/>
                  <wp:effectExtent l="0" t="0" r="6985" b="13335"/>
                  <wp:docPr id="23" name="图片 6"/>
                  <wp:cNvGraphicFramePr/>
                  <a:graphic xmlns:a="http://schemas.openxmlformats.org/drawingml/2006/main">
                    <a:graphicData uri="http://schemas.openxmlformats.org/drawingml/2006/picture">
                      <pic:pic xmlns:pic="http://schemas.openxmlformats.org/drawingml/2006/picture">
                        <pic:nvPicPr>
                          <pic:cNvPr id="23" name="图片 6"/>
                          <pic:cNvPicPr/>
                        </pic:nvPicPr>
                        <pic:blipFill>
                          <a:blip r:embed="rId20" cstate="print"/>
                          <a:srcRect/>
                          <a:stretch>
                            <a:fillRect/>
                          </a:stretch>
                        </pic:blipFill>
                        <pic:spPr>
                          <a:xfrm>
                            <a:off x="0" y="0"/>
                            <a:ext cx="1212215" cy="177736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7426" w:type="dxa"/>
            <w:shd w:val="clear" w:color="auto" w:fill="auto"/>
          </w:tcPr>
          <w:p>
            <w:pPr>
              <w:widowControl/>
              <w:jc w:val="left"/>
              <w:rPr>
                <w:rFonts w:ascii="仿宋" w:eastAsia="仿宋"/>
                <w:b/>
                <w:color w:val="auto"/>
                <w:sz w:val="32"/>
                <w:szCs w:val="32"/>
              </w:rPr>
            </w:pPr>
            <w:r>
              <w:rPr>
                <w:rFonts w:hint="eastAsia" w:ascii="仿宋" w:eastAsia="仿宋"/>
                <w:b/>
                <w:color w:val="auto"/>
                <w:sz w:val="32"/>
                <w:szCs w:val="32"/>
              </w:rPr>
              <w:t>吴君臣</w:t>
            </w:r>
          </w:p>
          <w:p>
            <w:pPr>
              <w:widowControl/>
              <w:ind w:firstLine="480" w:firstLineChars="200"/>
              <w:jc w:val="left"/>
              <w:rPr>
                <w:rFonts w:ascii="仿宋" w:eastAsia="仿宋"/>
                <w:color w:val="auto"/>
                <w:sz w:val="32"/>
                <w:szCs w:val="32"/>
              </w:rPr>
            </w:pPr>
            <w:r>
              <w:rPr>
                <w:rFonts w:hint="eastAsia" w:ascii="仿宋" w:eastAsia="仿宋"/>
                <w:color w:val="auto"/>
                <w:sz w:val="24"/>
                <w:szCs w:val="24"/>
              </w:rPr>
              <w:t>教授，博导德国洪堡学者，上海浦江学者，美国加州大学伯克利分校访问学者，四川省千人计划专家。在Chem. Soc. Rev.; J. Am. Chem. Soc.; Angew. Chem. Int. Ed.; Chemical Science; Theranostics等杂志发表SCI论文50余篇，被他人引用 3500 余次，H指数26。2018年发表在Biochemistry上的文章被推荐为全球相关生物化学方面最具创新的研究成果。目前担任Nature子刊Scientific Report编委。申请了10项中国发明专利。主持国家自然科学基金重大研究计划，国家自然科学基金面上项目，教育部重大交叉研究计划，并参与国家重大基础研究973项目等。</w:t>
            </w:r>
          </w:p>
        </w:tc>
        <w:tc>
          <w:tcPr>
            <w:tcW w:w="2406" w:type="dxa"/>
            <w:shd w:val="clear" w:color="auto" w:fill="auto"/>
          </w:tcPr>
          <w:p>
            <w:pPr>
              <w:widowControl/>
              <w:jc w:val="left"/>
              <w:rPr>
                <w:rFonts w:ascii="仿宋" w:eastAsia="仿宋"/>
                <w:color w:val="auto"/>
                <w:sz w:val="24"/>
                <w:szCs w:val="24"/>
              </w:rPr>
            </w:pPr>
          </w:p>
          <w:p>
            <w:pPr>
              <w:widowControl/>
              <w:jc w:val="center"/>
              <w:rPr>
                <w:rFonts w:ascii="仿宋" w:eastAsia="仿宋"/>
                <w:color w:val="auto"/>
                <w:sz w:val="24"/>
                <w:szCs w:val="24"/>
              </w:rPr>
            </w:pPr>
            <w:r>
              <w:rPr>
                <w:rFonts w:ascii="仿宋" w:eastAsia="仿宋"/>
                <w:color w:val="auto"/>
                <w:sz w:val="24"/>
                <w:szCs w:val="24"/>
              </w:rPr>
              <w:drawing>
                <wp:inline distT="0" distB="0" distL="0" distR="0">
                  <wp:extent cx="1306195" cy="1776095"/>
                  <wp:effectExtent l="0" t="0" r="8255" b="1460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noChangeArrowheads="1"/>
                          </pic:cNvPicPr>
                        </pic:nvPicPr>
                        <pic:blipFill>
                          <a:blip r:embed="rId21"/>
                          <a:srcRect/>
                          <a:stretch>
                            <a:fillRect/>
                          </a:stretch>
                        </pic:blipFill>
                        <pic:spPr>
                          <a:xfrm>
                            <a:off x="0" y="0"/>
                            <a:ext cx="1307623" cy="1777802"/>
                          </a:xfrm>
                          <a:prstGeom prst="rect">
                            <a:avLst/>
                          </a:prstGeom>
                          <a:noFill/>
                          <a:ln w="9525">
                            <a:noFill/>
                            <a:miter lim="800000"/>
                            <a:headEnd/>
                            <a:tailEnd/>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jc w:val="center"/>
        </w:trPr>
        <w:tc>
          <w:tcPr>
            <w:tcW w:w="7426" w:type="dxa"/>
            <w:shd w:val="clear" w:color="auto" w:fill="auto"/>
          </w:tcPr>
          <w:p>
            <w:pPr>
              <w:widowControl/>
              <w:jc w:val="left"/>
              <w:rPr>
                <w:rFonts w:ascii="仿宋" w:eastAsia="仿宋"/>
                <w:b/>
                <w:color w:val="auto"/>
                <w:sz w:val="32"/>
                <w:szCs w:val="32"/>
              </w:rPr>
            </w:pPr>
            <w:r>
              <w:rPr>
                <w:rFonts w:hint="eastAsia" w:ascii="仿宋" w:eastAsia="仿宋"/>
                <w:b/>
                <w:color w:val="auto"/>
                <w:sz w:val="32"/>
                <w:szCs w:val="32"/>
              </w:rPr>
              <w:t>张君革</w:t>
            </w:r>
          </w:p>
          <w:p>
            <w:pPr>
              <w:widowControl/>
              <w:ind w:firstLine="495"/>
              <w:jc w:val="left"/>
              <w:rPr>
                <w:rFonts w:ascii="仿宋" w:eastAsia="仿宋"/>
                <w:color w:val="auto"/>
                <w:sz w:val="24"/>
                <w:szCs w:val="24"/>
              </w:rPr>
            </w:pPr>
            <w:r>
              <w:rPr>
                <w:rFonts w:hint="eastAsia" w:ascii="仿宋" w:eastAsia="仿宋"/>
                <w:color w:val="auto"/>
                <w:sz w:val="24"/>
                <w:szCs w:val="24"/>
              </w:rPr>
              <w:t>博士,双元泰和药业有限公司（Biopeptek PharmaceuticalsLLC）董事长兼总经理；美国主流生物科技公司（Mainline Biosciences Inc.）和美国主流科学仪器公司（Mainline Scientific Inc.）创始人。双元泰和成立于2010年，是多肽行业的领军CRO和CDMO, 其总部位于美国费城，研发和生产基地位于青岛。主流生物科技公司拥有多项多肽类新药专利，其CXCR4受体为靶点的多肽偶联药MB1707用于治疗三阴型乳腺癌，已近完成临床前开发工作。主流科学仪器公司与美国亚利桑那大学联合开发的等离子仪基于一项高灵敏度分子间相互作用的检测技术，可以用于早期癌症筛查和癌症患者病情跟踪。</w:t>
            </w:r>
          </w:p>
        </w:tc>
        <w:tc>
          <w:tcPr>
            <w:tcW w:w="2406" w:type="dxa"/>
            <w:shd w:val="clear" w:color="auto" w:fill="auto"/>
          </w:tcPr>
          <w:p>
            <w:pPr>
              <w:widowControl/>
              <w:ind w:firstLine="495"/>
              <w:jc w:val="left"/>
              <w:rPr>
                <w:rFonts w:ascii="仿宋" w:eastAsia="仿宋"/>
                <w:color w:val="auto"/>
                <w:sz w:val="24"/>
                <w:szCs w:val="24"/>
              </w:rPr>
            </w:pPr>
          </w:p>
          <w:p>
            <w:pPr>
              <w:widowControl/>
              <w:ind w:firstLine="495"/>
              <w:jc w:val="left"/>
              <w:rPr>
                <w:rFonts w:ascii="仿宋" w:eastAsia="仿宋"/>
                <w:color w:val="auto"/>
                <w:sz w:val="24"/>
                <w:szCs w:val="24"/>
              </w:rPr>
            </w:pPr>
          </w:p>
          <w:p>
            <w:pPr>
              <w:widowControl/>
              <w:jc w:val="left"/>
              <w:rPr>
                <w:rFonts w:ascii="仿宋" w:eastAsia="仿宋"/>
                <w:color w:val="auto"/>
                <w:sz w:val="24"/>
                <w:szCs w:val="24"/>
              </w:rPr>
            </w:pPr>
            <w:r>
              <w:rPr>
                <w:rFonts w:ascii="仿宋" w:eastAsia="仿宋"/>
                <w:color w:val="auto"/>
                <w:sz w:val="24"/>
                <w:szCs w:val="24"/>
              </w:rPr>
              <w:drawing>
                <wp:inline distT="0" distB="0" distL="0" distR="0">
                  <wp:extent cx="1375410" cy="1544955"/>
                  <wp:effectExtent l="0" t="0" r="15240" b="17145"/>
                  <wp:docPr id="26" name="图片 2"/>
                  <wp:cNvGraphicFramePr/>
                  <a:graphic xmlns:a="http://schemas.openxmlformats.org/drawingml/2006/main">
                    <a:graphicData uri="http://schemas.openxmlformats.org/drawingml/2006/picture">
                      <pic:pic xmlns:pic="http://schemas.openxmlformats.org/drawingml/2006/picture">
                        <pic:nvPicPr>
                          <pic:cNvPr id="26" name="图片 2"/>
                          <pic:cNvPicPr/>
                        </pic:nvPicPr>
                        <pic:blipFill>
                          <a:blip r:embed="rId22" cstate="print">
                            <a:extLst>
                              <a:ext uri="{28A0092B-C50C-407E-A947-70E740481C1C}">
                                <a14:useLocalDpi xmlns:a14="http://schemas.microsoft.com/office/drawing/2010/main" val="0"/>
                              </a:ext>
                            </a:extLst>
                          </a:blip>
                          <a:srcRect l="9775" r="12339" b="30968"/>
                          <a:stretch>
                            <a:fillRect/>
                          </a:stretch>
                        </pic:blipFill>
                        <pic:spPr>
                          <a:xfrm>
                            <a:off x="0" y="0"/>
                            <a:ext cx="1376541" cy="1546166"/>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jc w:val="center"/>
        </w:trPr>
        <w:tc>
          <w:tcPr>
            <w:tcW w:w="7426" w:type="dxa"/>
            <w:shd w:val="clear" w:color="auto" w:fill="auto"/>
          </w:tcPr>
          <w:p>
            <w:pPr>
              <w:widowControl/>
              <w:jc w:val="left"/>
              <w:rPr>
                <w:rFonts w:ascii="仿宋" w:eastAsia="仿宋"/>
                <w:b/>
                <w:color w:val="auto"/>
                <w:sz w:val="32"/>
                <w:szCs w:val="32"/>
              </w:rPr>
            </w:pPr>
            <w:r>
              <w:rPr>
                <w:rFonts w:hint="eastAsia" w:ascii="仿宋" w:eastAsia="仿宋"/>
                <w:b/>
                <w:color w:val="auto"/>
                <w:sz w:val="32"/>
                <w:szCs w:val="32"/>
              </w:rPr>
              <w:t>王珠银</w:t>
            </w:r>
          </w:p>
          <w:p>
            <w:pPr>
              <w:widowControl/>
              <w:ind w:firstLine="480" w:firstLineChars="200"/>
              <w:jc w:val="left"/>
              <w:rPr>
                <w:rFonts w:ascii="仿宋" w:eastAsia="仿宋"/>
                <w:b/>
                <w:color w:val="auto"/>
                <w:sz w:val="32"/>
                <w:szCs w:val="32"/>
              </w:rPr>
            </w:pPr>
            <w:r>
              <w:rPr>
                <w:rFonts w:hint="eastAsia" w:ascii="仿宋" w:eastAsia="仿宋"/>
                <w:color w:val="auto"/>
                <w:sz w:val="24"/>
                <w:szCs w:val="24"/>
              </w:rPr>
              <w:t>学士和硕士毕业于兰州大学化学系有机合成专业，博士毕业于美国罗格斯大学生物化学和分子生物学专业，博士后在哥伦比亚大学从事病理学研究。王博士主要研究方向为合成生物学，高通量药物筛选，多肽和蛋白质生物医药等。在美国公司工作期间，主要负责研发工作，历任资深科学家，部门总监，技术副总裁，2014年1月应聘为河海大学力材学院特聘教授。2017年1月应聘为兰州大学功能有机国家重点实验室特聘教授。过去多年发表论文50余篇，申请美国和中国专利40多项，其中已获得11项美国专利授权，1项欧盟专利授权，8项中国专利授权。王博士2011年入选江苏省“双创计划”，2012年入选中组部第八批“千人计划”。</w:t>
            </w:r>
          </w:p>
        </w:tc>
        <w:tc>
          <w:tcPr>
            <w:tcW w:w="2406" w:type="dxa"/>
            <w:shd w:val="clear" w:color="auto" w:fill="auto"/>
          </w:tcPr>
          <w:p>
            <w:pPr>
              <w:widowControl/>
              <w:jc w:val="left"/>
              <w:rPr>
                <w:rFonts w:ascii="仿宋" w:eastAsia="仿宋"/>
                <w:color w:val="auto"/>
                <w:sz w:val="24"/>
                <w:szCs w:val="24"/>
              </w:rPr>
            </w:pPr>
          </w:p>
          <w:p>
            <w:pPr>
              <w:widowControl/>
              <w:jc w:val="left"/>
              <w:rPr>
                <w:rFonts w:ascii="仿宋" w:eastAsia="仿宋"/>
                <w:color w:val="auto"/>
                <w:sz w:val="24"/>
                <w:szCs w:val="24"/>
              </w:rPr>
            </w:pPr>
            <w:r>
              <w:rPr>
                <w:rFonts w:ascii="仿宋" w:eastAsia="仿宋"/>
                <w:color w:val="auto"/>
                <w:sz w:val="24"/>
                <w:szCs w:val="24"/>
              </w:rPr>
              <w:drawing>
                <wp:inline distT="0" distB="0" distL="0" distR="0">
                  <wp:extent cx="1323340" cy="1799590"/>
                  <wp:effectExtent l="0" t="0" r="10160" b="10160"/>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23"/>
                          <a:srcRect/>
                          <a:stretch>
                            <a:fillRect/>
                          </a:stretch>
                        </pic:blipFill>
                        <pic:spPr>
                          <a:xfrm>
                            <a:off x="0" y="0"/>
                            <a:ext cx="1324423" cy="180096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jc w:val="center"/>
        </w:trPr>
        <w:tc>
          <w:tcPr>
            <w:tcW w:w="7426" w:type="dxa"/>
            <w:shd w:val="clear" w:color="auto" w:fill="auto"/>
          </w:tcPr>
          <w:p>
            <w:pPr>
              <w:widowControl/>
              <w:jc w:val="left"/>
              <w:rPr>
                <w:rFonts w:ascii="仿宋" w:eastAsia="仿宋"/>
                <w:b/>
                <w:color w:val="auto"/>
                <w:sz w:val="32"/>
                <w:szCs w:val="32"/>
              </w:rPr>
            </w:pPr>
            <w:r>
              <w:rPr>
                <w:rFonts w:hint="eastAsia" w:ascii="仿宋" w:eastAsia="仿宋"/>
                <w:b/>
                <w:color w:val="auto"/>
                <w:sz w:val="32"/>
                <w:szCs w:val="32"/>
              </w:rPr>
              <w:t>董守良</w:t>
            </w:r>
          </w:p>
          <w:p>
            <w:pPr>
              <w:widowControl/>
              <w:ind w:firstLine="480" w:firstLineChars="200"/>
              <w:jc w:val="left"/>
              <w:rPr>
                <w:rFonts w:ascii="仿宋" w:eastAsia="仿宋"/>
                <w:b/>
                <w:color w:val="auto"/>
                <w:sz w:val="32"/>
                <w:szCs w:val="32"/>
              </w:rPr>
            </w:pPr>
            <w:r>
              <w:rPr>
                <w:rFonts w:hint="eastAsia" w:ascii="仿宋" w:eastAsia="仿宋"/>
                <w:color w:val="auto"/>
                <w:sz w:val="24"/>
                <w:szCs w:val="24"/>
              </w:rPr>
              <w:t>兰州大学生命科学学院，生物化学与分子生物学研究所，教授。主要方向是多肽化学生物学。2003获得德国克虏伯基金会资助（中国青年学者奖），到德国马普生化所生物有机系进行博士后工作，主要从事蛋白质半合成、二维核磁鉴定多肽结构、蛋白质折叠和半合成等方面的研究，导师Moroder教授；2007年-2008年应德国马普高分子所和生化所邀请做客座学者。主持过多项项国家级、省级、教育部基金及部分企业协作项目。目前已发表论文60多篇, 申请14件国家发明专利。</w:t>
            </w:r>
          </w:p>
        </w:tc>
        <w:tc>
          <w:tcPr>
            <w:tcW w:w="2406" w:type="dxa"/>
            <w:shd w:val="clear" w:color="auto" w:fill="auto"/>
          </w:tcPr>
          <w:p>
            <w:pPr>
              <w:widowControl/>
              <w:jc w:val="left"/>
              <w:rPr>
                <w:rFonts w:ascii="仿宋" w:eastAsia="仿宋"/>
                <w:color w:val="auto"/>
                <w:sz w:val="24"/>
                <w:szCs w:val="24"/>
              </w:rPr>
            </w:pPr>
          </w:p>
          <w:p>
            <w:pPr>
              <w:widowControl/>
              <w:jc w:val="left"/>
              <w:rPr>
                <w:rFonts w:ascii="仿宋" w:eastAsia="仿宋"/>
                <w:color w:val="auto"/>
                <w:sz w:val="24"/>
                <w:szCs w:val="24"/>
              </w:rPr>
            </w:pPr>
            <w:r>
              <w:rPr>
                <w:rFonts w:ascii="仿宋" w:eastAsia="仿宋"/>
                <w:color w:val="auto"/>
                <w:sz w:val="24"/>
                <w:szCs w:val="24"/>
              </w:rPr>
              <w:drawing>
                <wp:inline distT="0" distB="0" distL="0" distR="0">
                  <wp:extent cx="1323340" cy="1506855"/>
                  <wp:effectExtent l="0" t="0" r="10160" b="1714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noChangeArrowheads="1"/>
                          </pic:cNvPicPr>
                        </pic:nvPicPr>
                        <pic:blipFill>
                          <a:blip r:embed="rId24"/>
                          <a:srcRect/>
                          <a:stretch>
                            <a:fillRect/>
                          </a:stretch>
                        </pic:blipFill>
                        <pic:spPr>
                          <a:xfrm>
                            <a:off x="0" y="0"/>
                            <a:ext cx="1325763" cy="150988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7426" w:type="dxa"/>
            <w:shd w:val="clear" w:color="auto" w:fill="auto"/>
            <w:vAlign w:val="top"/>
          </w:tcPr>
          <w:p>
            <w:pPr>
              <w:widowControl/>
              <w:jc w:val="left"/>
              <w:rPr>
                <w:color w:val="auto"/>
              </w:rPr>
            </w:pPr>
            <w:r>
              <w:rPr>
                <w:rFonts w:ascii="仿宋" w:eastAsia="仿宋"/>
                <w:b/>
                <w:color w:val="auto"/>
                <w:sz w:val="32"/>
                <w:szCs w:val="32"/>
              </w:rPr>
              <w:t>李新宇</w:t>
            </w:r>
          </w:p>
          <w:p>
            <w:pPr>
              <w:widowControl/>
              <w:ind w:firstLine="600" w:firstLineChars="250"/>
              <w:jc w:val="left"/>
              <w:rPr>
                <w:rFonts w:hint="eastAsia" w:ascii="仿宋" w:hAnsi="Times New Roman" w:eastAsia="仿宋" w:cs="Times New Roman"/>
                <w:b/>
                <w:color w:val="auto"/>
                <w:kern w:val="2"/>
                <w:sz w:val="32"/>
                <w:szCs w:val="32"/>
                <w:lang w:val="en-US" w:eastAsia="zh-CN" w:bidi="ar-SA"/>
              </w:rPr>
            </w:pPr>
            <w:r>
              <w:rPr>
                <w:rFonts w:ascii="仿宋" w:eastAsia="仿宋"/>
                <w:color w:val="auto"/>
                <w:sz w:val="24"/>
                <w:szCs w:val="24"/>
              </w:rPr>
              <w:t>深圳市健元医药科技有限公司副总经理，1995年就读于沈阳药科大学，药物化学专业。2002年毕业后一直工作在多肽产业界，曾就职于深圳翰宇、杭州诺泰、广州龙沙，从事多肽药物研发、注册申报，多肽产业化新技术开发应用等工作。2010年加入深圳健元，带领团队已申报CFDA包括一类新药在内的多肽药物原料药、制剂合计9个产品13个品规，主持多项多肽新药、仿药开发项目。深圳市地方级领军人才，十七届广东药学会药物化学理事会委员、深圳国家高技术产业创新中心专家、深圳市南山区科技局专家、深圳市科技金融专家、深圳市生命科学与生物技术协会专家、清华大学深圳研究生院技术转移中心评审专家。</w:t>
            </w:r>
            <w:r>
              <w:rPr>
                <w:color w:val="auto"/>
              </w:rPr>
              <w:t> </w:t>
            </w:r>
          </w:p>
        </w:tc>
        <w:tc>
          <w:tcPr>
            <w:tcW w:w="2406" w:type="dxa"/>
            <w:shd w:val="clear" w:color="auto" w:fill="auto"/>
          </w:tcPr>
          <w:p>
            <w:pPr>
              <w:rPr>
                <w:rFonts w:ascii="仿宋" w:eastAsia="仿宋"/>
                <w:color w:val="auto"/>
                <w:sz w:val="24"/>
                <w:szCs w:val="24"/>
              </w:rPr>
            </w:pPr>
            <w:r>
              <w:rPr>
                <w:rFonts w:ascii="仿宋" w:eastAsia="仿宋"/>
                <w:color w:val="auto"/>
                <w:sz w:val="24"/>
                <w:szCs w:val="24"/>
              </w:rPr>
              <w:drawing>
                <wp:anchor distT="0" distB="0" distL="0" distR="0" simplePos="0" relativeHeight="251673600" behindDoc="0" locked="0" layoutInCell="1" allowOverlap="1">
                  <wp:simplePos x="0" y="0"/>
                  <wp:positionH relativeFrom="column">
                    <wp:posOffset>7620</wp:posOffset>
                  </wp:positionH>
                  <wp:positionV relativeFrom="paragraph">
                    <wp:posOffset>472440</wp:posOffset>
                  </wp:positionV>
                  <wp:extent cx="1371600" cy="1581150"/>
                  <wp:effectExtent l="0" t="0" r="0" b="0"/>
                  <wp:wrapNone/>
                  <wp:docPr id="38" name="图片 17" descr="F:\多肽会议2018\多肽会议资料\嘉宾照片\李新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descr="F:\多肽会议2018\多肽会议资料\嘉宾照片\李新宇.jpg"/>
                          <pic:cNvPicPr>
                            <a:picLocks noChangeAspect="1" noChangeArrowheads="1"/>
                          </pic:cNvPicPr>
                        </pic:nvPicPr>
                        <pic:blipFill>
                          <a:blip r:embed="rId25"/>
                          <a:srcRect/>
                          <a:stretch>
                            <a:fillRect/>
                          </a:stretch>
                        </pic:blipFill>
                        <pic:spPr>
                          <a:xfrm>
                            <a:off x="0" y="0"/>
                            <a:ext cx="1371600" cy="1581150"/>
                          </a:xfrm>
                          <a:prstGeom prst="rect">
                            <a:avLst/>
                          </a:prstGeom>
                          <a:noFill/>
                          <a:ln w="9525">
                            <a:noFill/>
                            <a:miter lim="800000"/>
                            <a:headEnd/>
                            <a:tailEnd/>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26" w:type="dxa"/>
            <w:shd w:val="clear" w:color="auto" w:fill="auto"/>
          </w:tcPr>
          <w:p>
            <w:pPr>
              <w:rPr>
                <w:rFonts w:hint="eastAsia" w:ascii="仿宋" w:eastAsia="仿宋"/>
                <w:b/>
                <w:color w:val="auto"/>
                <w:sz w:val="32"/>
                <w:szCs w:val="32"/>
                <w:lang w:val="en-US" w:eastAsia="zh-CN"/>
              </w:rPr>
            </w:pPr>
            <w:r>
              <w:rPr>
                <w:rFonts w:hint="eastAsia" w:ascii="仿宋" w:eastAsia="仿宋"/>
                <w:b/>
                <w:color w:val="auto"/>
                <w:sz w:val="32"/>
                <w:szCs w:val="32"/>
                <w:lang w:val="en-US" w:eastAsia="zh-CN"/>
              </w:rPr>
              <w:t>姬胜利</w:t>
            </w:r>
          </w:p>
          <w:p>
            <w:pPr>
              <w:widowControl/>
              <w:ind w:firstLine="600" w:firstLineChars="250"/>
              <w:jc w:val="left"/>
              <w:rPr>
                <w:rFonts w:hint="default" w:ascii="仿宋" w:eastAsia="仿宋"/>
                <w:b/>
                <w:color w:val="auto"/>
                <w:sz w:val="32"/>
                <w:szCs w:val="32"/>
                <w:lang w:val="en-US" w:eastAsia="zh-CN"/>
              </w:rPr>
            </w:pPr>
            <w:r>
              <w:rPr>
                <w:rFonts w:hint="default" w:ascii="仿宋" w:eastAsia="仿宋"/>
                <w:color w:val="auto"/>
                <w:sz w:val="24"/>
                <w:szCs w:val="24"/>
                <w:lang w:val="en-US" w:eastAsia="zh-CN"/>
              </w:rPr>
              <w:t>润辉生物技术（威海）有限公司董事长，山东省泰山产业领军人才，河北省巨人计划领军人才。研究领域：生物多肽和生物多糖，曾主持的课题：国家自然基金多硫酸寡糖抗哮喘分子作用机制的研究；山东省自然基金低分子硫酸皮肤素抗栓和溶栓作用机理的研究；山东省自然基金软骨素多硫酸酯抗肿瘤作用机制的研究；山东大学青年科学基金硫酸氨基寡糖对免疫细胞因子调节作用的研究；山东省卫生厅基金抗肿瘤新药硫酸乙酯肝素寡糖的研制。兼任中国生化制药工业协会专家委员会副主任委员，中国工业生化与分子生物学专业委员会常务理事、中国药学会生化与生物技术专业委员会委员。</w:t>
            </w:r>
          </w:p>
        </w:tc>
        <w:tc>
          <w:tcPr>
            <w:tcW w:w="2406" w:type="dxa"/>
            <w:shd w:val="clear" w:color="auto" w:fill="auto"/>
          </w:tcPr>
          <w:p>
            <w:pPr>
              <w:rPr>
                <w:rFonts w:ascii="仿宋" w:eastAsia="仿宋"/>
                <w:color w:val="auto"/>
                <w:sz w:val="24"/>
                <w:szCs w:val="24"/>
              </w:rPr>
            </w:pPr>
            <w:r>
              <w:drawing>
                <wp:anchor distT="0" distB="0" distL="114300" distR="114300" simplePos="0" relativeHeight="251675648" behindDoc="0" locked="0" layoutInCell="1" allowOverlap="1">
                  <wp:simplePos x="0" y="0"/>
                  <wp:positionH relativeFrom="column">
                    <wp:posOffset>56515</wp:posOffset>
                  </wp:positionH>
                  <wp:positionV relativeFrom="paragraph">
                    <wp:posOffset>404495</wp:posOffset>
                  </wp:positionV>
                  <wp:extent cx="1290955" cy="1451610"/>
                  <wp:effectExtent l="0" t="0" r="4445" b="15240"/>
                  <wp:wrapNone/>
                  <wp:docPr id="1" name="图片 8"/>
                  <wp:cNvGraphicFramePr/>
                  <a:graphic xmlns:a="http://schemas.openxmlformats.org/drawingml/2006/main">
                    <a:graphicData uri="http://schemas.openxmlformats.org/drawingml/2006/picture">
                      <pic:pic xmlns:pic="http://schemas.openxmlformats.org/drawingml/2006/picture">
                        <pic:nvPicPr>
                          <pic:cNvPr id="1" name="图片 8"/>
                          <pic:cNvPicPr/>
                        </pic:nvPicPr>
                        <pic:blipFill>
                          <a:blip r:embed="rId26"/>
                          <a:srcRect/>
                          <a:stretch>
                            <a:fillRect/>
                          </a:stretch>
                        </pic:blipFill>
                        <pic:spPr>
                          <a:xfrm>
                            <a:off x="0" y="0"/>
                            <a:ext cx="1290955" cy="1451610"/>
                          </a:xfrm>
                          <a:prstGeom prst="rect">
                            <a:avLst/>
                          </a:prstGeom>
                          <a:noFill/>
                          <a:ln w="9525">
                            <a:noFill/>
                            <a:miter lim="800000"/>
                            <a:headEnd/>
                            <a:tailEnd/>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7426" w:type="dxa"/>
            <w:shd w:val="clear" w:color="auto" w:fill="auto"/>
          </w:tcPr>
          <w:p>
            <w:pPr>
              <w:rPr>
                <w:rFonts w:ascii="仿宋" w:eastAsia="仿宋"/>
                <w:b/>
                <w:color w:val="auto"/>
                <w:sz w:val="32"/>
                <w:szCs w:val="32"/>
              </w:rPr>
            </w:pPr>
            <w:r>
              <w:rPr>
                <w:rFonts w:ascii="仿宋" w:eastAsia="仿宋"/>
                <w:b/>
                <w:color w:val="auto"/>
                <w:sz w:val="32"/>
                <w:szCs w:val="32"/>
              </w:rPr>
              <w:t>王良友</w:t>
            </w:r>
          </w:p>
          <w:p>
            <w:pPr>
              <w:ind w:firstLine="480"/>
              <w:rPr>
                <w:rFonts w:ascii="仿宋" w:eastAsia="仿宋"/>
                <w:color w:val="auto"/>
                <w:sz w:val="24"/>
                <w:szCs w:val="24"/>
              </w:rPr>
            </w:pPr>
            <w:r>
              <w:rPr>
                <w:rFonts w:ascii="仿宋" w:eastAsia="仿宋"/>
                <w:color w:val="auto"/>
                <w:sz w:val="24"/>
                <w:szCs w:val="24"/>
              </w:rPr>
              <w:t>2005年1月至2007年5月在美国明尼苏达大学药学院做博士后研究。2007年5月回国后加入苏州天马医药集团，担任苏州中科天马肽工程中心技术总监，2007年9月入选江苏省高层次创业创新人才。2013年起任天吉生物制药有限公司多肽部主任、副总工程师、总工程师。自1994年以来一直从事多肽药物的合成与研发工作</w:t>
            </w:r>
            <w:r>
              <w:rPr>
                <w:rFonts w:hint="eastAsia" w:ascii="仿宋" w:eastAsia="仿宋"/>
                <w:color w:val="auto"/>
                <w:sz w:val="24"/>
                <w:szCs w:val="24"/>
                <w:lang w:eastAsia="zh-CN"/>
              </w:rPr>
              <w:t>，</w:t>
            </w:r>
            <w:r>
              <w:rPr>
                <w:rFonts w:ascii="仿宋" w:eastAsia="仿宋"/>
                <w:color w:val="auto"/>
                <w:sz w:val="24"/>
                <w:szCs w:val="24"/>
              </w:rPr>
              <w:t>熟悉多肽合成与分析方法，特别对多肽合成中困难序列的预测与对策、二硫键的形成方法、环肽合成方法及多肽的PEG化、磷酸化、糖基化等修饰方法有深入的研究。参与或主持完成的研究项目有：国家自然科学基金重点资助项目（39430120），国家自然科学基金青年科学基金项目（30300436），NIH grant CA 1142994，国家科技重大专项课题重大新药创制（2011ZX09102-001-16）。</w:t>
            </w:r>
          </w:p>
        </w:tc>
        <w:tc>
          <w:tcPr>
            <w:tcW w:w="2406" w:type="dxa"/>
            <w:shd w:val="clear" w:color="auto" w:fill="auto"/>
          </w:tcPr>
          <w:p>
            <w:pPr>
              <w:rPr>
                <w:rFonts w:ascii="仿宋" w:eastAsia="仿宋"/>
                <w:color w:val="auto"/>
                <w:sz w:val="24"/>
                <w:szCs w:val="24"/>
              </w:rPr>
            </w:pPr>
          </w:p>
          <w:p>
            <w:pPr>
              <w:rPr>
                <w:rFonts w:ascii="仿宋" w:eastAsia="仿宋"/>
                <w:color w:val="auto"/>
                <w:sz w:val="24"/>
                <w:szCs w:val="24"/>
              </w:rPr>
            </w:pPr>
          </w:p>
          <w:p>
            <w:pPr>
              <w:jc w:val="center"/>
              <w:rPr>
                <w:rFonts w:ascii="仿宋" w:eastAsia="仿宋"/>
                <w:color w:val="auto"/>
                <w:sz w:val="24"/>
                <w:szCs w:val="24"/>
              </w:rPr>
            </w:pPr>
          </w:p>
          <w:p>
            <w:pPr>
              <w:jc w:val="center"/>
              <w:rPr>
                <w:rFonts w:ascii="仿宋" w:eastAsia="仿宋"/>
                <w:color w:val="auto"/>
                <w:sz w:val="24"/>
                <w:szCs w:val="24"/>
              </w:rPr>
            </w:pPr>
            <w:r>
              <w:rPr>
                <w:rFonts w:ascii="仿宋" w:eastAsia="仿宋"/>
                <w:color w:val="auto"/>
                <w:sz w:val="24"/>
                <w:szCs w:val="24"/>
              </w:rPr>
              <w:drawing>
                <wp:inline distT="0" distB="0" distL="0" distR="0">
                  <wp:extent cx="1185545" cy="1370330"/>
                  <wp:effectExtent l="0" t="0" r="14605" b="1270"/>
                  <wp:docPr id="70" name="图片 1" descr="C:\Users\Administrator\Desktop\王良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descr="C:\Users\Administrator\Desktop\王良友.jpg"/>
                          <pic:cNvPicPr>
                            <a:picLocks noChangeAspect="1" noChangeArrowheads="1"/>
                          </pic:cNvPicPr>
                        </pic:nvPicPr>
                        <pic:blipFill>
                          <a:blip r:embed="rId27" cstate="print"/>
                          <a:srcRect/>
                          <a:stretch>
                            <a:fillRect/>
                          </a:stretch>
                        </pic:blipFill>
                        <pic:spPr>
                          <a:xfrm>
                            <a:off x="0" y="0"/>
                            <a:ext cx="1185545" cy="1370330"/>
                          </a:xfrm>
                          <a:prstGeom prst="rect">
                            <a:avLst/>
                          </a:prstGeom>
                          <a:noFill/>
                          <a:ln w="9525">
                            <a:noFill/>
                            <a:miter lim="800000"/>
                            <a:headEnd/>
                            <a:tailEnd/>
                          </a:ln>
                        </pic:spPr>
                      </pic:pic>
                    </a:graphicData>
                  </a:graphic>
                </wp:inline>
              </w:drawing>
            </w:r>
          </w:p>
          <w:p>
            <w:pPr>
              <w:rPr>
                <w:rFonts w:ascii="仿宋" w:eastAsia="仿宋"/>
                <w:color w:val="auto"/>
                <w:sz w:val="24"/>
                <w:szCs w:val="24"/>
              </w:rPr>
            </w:pPr>
          </w:p>
          <w:p>
            <w:pPr>
              <w:rPr>
                <w:rFonts w:ascii="仿宋" w:eastAsia="仿宋"/>
                <w:color w:val="auto"/>
                <w:sz w:val="24"/>
                <w:szCs w:val="24"/>
              </w:rPr>
            </w:pPr>
          </w:p>
          <w:p>
            <w:pPr>
              <w:rPr>
                <w:rFonts w:asci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3" w:hRule="atLeast"/>
          <w:jc w:val="center"/>
        </w:trPr>
        <w:tc>
          <w:tcPr>
            <w:tcW w:w="7426" w:type="dxa"/>
            <w:shd w:val="clear" w:color="auto" w:fill="auto"/>
          </w:tcPr>
          <w:p>
            <w:pPr>
              <w:widowControl/>
              <w:jc w:val="left"/>
              <w:rPr>
                <w:rFonts w:hint="default" w:ascii="仿宋" w:eastAsia="仿宋"/>
                <w:b/>
                <w:color w:val="auto"/>
                <w:sz w:val="32"/>
                <w:szCs w:val="32"/>
                <w:lang w:val="en-US" w:eastAsia="zh-CN"/>
              </w:rPr>
            </w:pPr>
            <w:r>
              <w:rPr>
                <w:rFonts w:hint="eastAsia" w:ascii="仿宋" w:eastAsia="仿宋"/>
                <w:b/>
                <w:color w:val="auto"/>
                <w:sz w:val="32"/>
                <w:szCs w:val="32"/>
                <w:lang w:val="en-US" w:eastAsia="zh-CN"/>
              </w:rPr>
              <w:t>马亚平</w:t>
            </w:r>
          </w:p>
          <w:p>
            <w:pPr>
              <w:widowControl/>
              <w:jc w:val="left"/>
              <w:rPr>
                <w:rFonts w:hint="default" w:ascii="仿宋" w:eastAsia="仿宋"/>
                <w:b/>
                <w:color w:val="auto"/>
                <w:sz w:val="32"/>
                <w:szCs w:val="32"/>
                <w:lang w:val="en-US" w:eastAsia="zh-CN"/>
              </w:rPr>
            </w:pPr>
            <w:r>
              <w:rPr>
                <w:rFonts w:hint="default" w:ascii="仿宋" w:eastAsia="仿宋"/>
                <w:b/>
                <w:color w:val="auto"/>
                <w:sz w:val="32"/>
                <w:szCs w:val="32"/>
                <w:lang w:val="en-US" w:eastAsia="zh-CN"/>
              </w:rPr>
              <w:t xml:space="preserve">    </w:t>
            </w:r>
            <w:r>
              <w:rPr>
                <w:rFonts w:hint="default" w:ascii="仿宋" w:eastAsia="仿宋"/>
                <w:color w:val="auto"/>
                <w:sz w:val="24"/>
                <w:szCs w:val="24"/>
                <w:lang w:val="en-US" w:eastAsia="zh-CN"/>
              </w:rPr>
              <w:t>博士，毕业于兰州大学、中科院；先后任职中科院成都地奥制药集团、海南中和集团；2006年起任深圳翰宇药业股份有限公司(股票代码：300199)副总裁、CTO，是系列多肽药物研发的技术带头人及关键技术形成的指导者和组织者，完成了多项国家、省、市、区各级科技攻关项目，先后获中国技术发明奖、中国专利优秀奖、广东省科学技术奖，现为深圳市青科协常务副会长、深圳市青联委员。2017年创办深创生物，从事精准健康管理；创新项目孵化、创新产品注册与应用。</w:t>
            </w:r>
          </w:p>
        </w:tc>
        <w:tc>
          <w:tcPr>
            <w:tcW w:w="2406" w:type="dxa"/>
            <w:shd w:val="clear" w:color="auto" w:fill="auto"/>
          </w:tcPr>
          <w:p>
            <w:pPr>
              <w:widowControl/>
              <w:jc w:val="left"/>
              <w:rPr>
                <w:rFonts w:ascii="仿宋" w:eastAsia="仿宋"/>
                <w:color w:val="auto"/>
                <w:sz w:val="24"/>
                <w:szCs w:val="24"/>
              </w:rPr>
            </w:pPr>
          </w:p>
          <w:p>
            <w:pPr>
              <w:widowControl/>
              <w:jc w:val="left"/>
              <w:rPr>
                <w:rFonts w:ascii="仿宋" w:eastAsia="仿宋"/>
                <w:color w:val="auto"/>
                <w:sz w:val="24"/>
                <w:szCs w:val="24"/>
              </w:rPr>
            </w:pPr>
            <w:r>
              <w:rPr>
                <w:color w:val="auto"/>
              </w:rPr>
              <w:drawing>
                <wp:anchor distT="0" distB="0" distL="114300" distR="114300" simplePos="0" relativeHeight="251674624" behindDoc="0" locked="0" layoutInCell="1" allowOverlap="1">
                  <wp:simplePos x="0" y="0"/>
                  <wp:positionH relativeFrom="column">
                    <wp:posOffset>54610</wp:posOffset>
                  </wp:positionH>
                  <wp:positionV relativeFrom="paragraph">
                    <wp:posOffset>170180</wp:posOffset>
                  </wp:positionV>
                  <wp:extent cx="1245870" cy="1383665"/>
                  <wp:effectExtent l="0" t="0" r="11430" b="6985"/>
                  <wp:wrapNone/>
                  <wp:docPr id="8" name="Picture 2" descr="E:\多肽会议\多肽会议2018\多肽会议资料\嘉宾照片\马亚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E:\多肽会议\多肽会议2018\多肽会议资料\嘉宾照片\马亚平.png"/>
                          <pic:cNvPicPr>
                            <a:picLocks noChangeAspect="1" noChangeArrowheads="1"/>
                          </pic:cNvPicPr>
                        </pic:nvPicPr>
                        <pic:blipFill>
                          <a:blip r:embed="rId28"/>
                          <a:srcRect/>
                          <a:stretch>
                            <a:fillRect/>
                          </a:stretch>
                        </pic:blipFill>
                        <pic:spPr>
                          <a:xfrm>
                            <a:off x="0" y="0"/>
                            <a:ext cx="1245870" cy="1383665"/>
                          </a:xfrm>
                          <a:prstGeom prst="rect">
                            <a:avLst/>
                          </a:prstGeom>
                          <a:noFill/>
                        </pic:spPr>
                      </pic:pic>
                    </a:graphicData>
                  </a:graphic>
                </wp:anchor>
              </w:drawing>
            </w:r>
          </w:p>
          <w:p>
            <w:pPr>
              <w:widowControl/>
              <w:jc w:val="left"/>
              <w:rPr>
                <w:rFonts w:ascii="仿宋" w:eastAsia="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3" w:hRule="atLeast"/>
          <w:jc w:val="center"/>
        </w:trPr>
        <w:tc>
          <w:tcPr>
            <w:tcW w:w="7426" w:type="dxa"/>
            <w:shd w:val="clear" w:color="auto" w:fill="auto"/>
          </w:tcPr>
          <w:p>
            <w:pPr>
              <w:widowControl/>
              <w:jc w:val="left"/>
              <w:rPr>
                <w:rFonts w:hint="eastAsia" w:ascii="仿宋" w:eastAsia="仿宋"/>
                <w:b/>
                <w:color w:val="auto"/>
                <w:sz w:val="32"/>
                <w:szCs w:val="32"/>
              </w:rPr>
            </w:pPr>
            <w:r>
              <w:rPr>
                <w:rFonts w:hint="eastAsia" w:ascii="仿宋" w:eastAsia="仿宋"/>
                <w:b/>
                <w:color w:val="auto"/>
                <w:sz w:val="32"/>
                <w:szCs w:val="32"/>
              </w:rPr>
              <w:t>李顺子</w:t>
            </w:r>
          </w:p>
          <w:p>
            <w:pPr>
              <w:widowControl/>
              <w:ind w:firstLine="480" w:firstLineChars="200"/>
              <w:jc w:val="left"/>
              <w:rPr>
                <w:rFonts w:hint="eastAsia" w:eastAsia="仿宋"/>
                <w:color w:val="auto"/>
                <w:sz w:val="28"/>
                <w:szCs w:val="28"/>
                <w:lang w:eastAsia="zh-CN"/>
              </w:rPr>
            </w:pPr>
            <w:r>
              <w:rPr>
                <w:rFonts w:hint="eastAsia" w:ascii="仿宋" w:eastAsia="仿宋"/>
                <w:color w:val="auto"/>
                <w:sz w:val="24"/>
                <w:szCs w:val="24"/>
              </w:rPr>
              <w:t>南开大学高分子化学与物理专业博士，美国西南医学中心博士后， 斯坦福国际研究所大分子生命科学和癌症生物学部资深科学家。师从国内外多肽领域知名专家，一直从事多肽化学，转化科学和多肽靶向新药研发工作近30年。在美国科研机构和工业界任职期间，主持和参与了多个NIH和斯坦福研究所的多肽新药研发项目。目前有6项发明专利，发表文章20余篇。2019年底加入诺泰生物，任多肽研发总监。2020年江苏省双创人才。</w:t>
            </w:r>
          </w:p>
        </w:tc>
        <w:tc>
          <w:tcPr>
            <w:tcW w:w="2406" w:type="dxa"/>
            <w:shd w:val="clear" w:color="auto" w:fill="auto"/>
          </w:tcPr>
          <w:p>
            <w:pPr>
              <w:widowControl/>
              <w:jc w:val="center"/>
              <w:rPr>
                <w:rFonts w:hint="eastAsia" w:ascii="仿宋" w:eastAsia="仿宋"/>
                <w:color w:val="auto"/>
                <w:sz w:val="24"/>
                <w:szCs w:val="24"/>
              </w:rPr>
            </w:pPr>
            <w:r>
              <w:rPr>
                <w:rFonts w:eastAsia="仿宋"/>
                <w:color w:val="auto"/>
                <w:sz w:val="28"/>
                <w:szCs w:val="28"/>
              </w:rPr>
              <w:drawing>
                <wp:inline distT="0" distB="0" distL="0" distR="0">
                  <wp:extent cx="1191895" cy="1619250"/>
                  <wp:effectExtent l="0" t="0" r="825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a:stretch>
                            <a:fillRect/>
                          </a:stretch>
                        </pic:blipFill>
                        <pic:spPr>
                          <a:xfrm>
                            <a:off x="0" y="0"/>
                            <a:ext cx="1191895" cy="161925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4" w:hRule="atLeast"/>
          <w:jc w:val="center"/>
        </w:trPr>
        <w:tc>
          <w:tcPr>
            <w:tcW w:w="7426" w:type="dxa"/>
            <w:shd w:val="clear" w:color="auto" w:fill="auto"/>
          </w:tcPr>
          <w:p>
            <w:pPr>
              <w:widowControl/>
              <w:jc w:val="left"/>
              <w:rPr>
                <w:rFonts w:hint="eastAsia" w:ascii="仿宋" w:eastAsia="仿宋"/>
                <w:b/>
                <w:color w:val="auto"/>
                <w:sz w:val="32"/>
                <w:szCs w:val="32"/>
              </w:rPr>
            </w:pPr>
            <w:r>
              <w:rPr>
                <w:rFonts w:hint="eastAsia" w:ascii="仿宋" w:eastAsia="仿宋"/>
                <w:b/>
                <w:color w:val="auto"/>
                <w:sz w:val="32"/>
                <w:szCs w:val="32"/>
              </w:rPr>
              <w:t>曾</w:t>
            </w:r>
            <w:r>
              <w:rPr>
                <w:rFonts w:hint="eastAsia" w:ascii="仿宋" w:eastAsia="仿宋"/>
                <w:b/>
                <w:color w:val="auto"/>
                <w:sz w:val="32"/>
                <w:szCs w:val="32"/>
                <w:lang w:val="en-US" w:eastAsia="zh-CN"/>
              </w:rPr>
              <w:t xml:space="preserve"> </w:t>
            </w:r>
            <w:r>
              <w:rPr>
                <w:rFonts w:hint="eastAsia" w:ascii="仿宋" w:eastAsia="仿宋"/>
                <w:b/>
                <w:color w:val="auto"/>
                <w:sz w:val="32"/>
                <w:szCs w:val="32"/>
              </w:rPr>
              <w:t>驰</w:t>
            </w:r>
          </w:p>
          <w:p>
            <w:pPr>
              <w:widowControl/>
              <w:ind w:firstLine="495"/>
              <w:jc w:val="left"/>
              <w:rPr>
                <w:rFonts w:hint="eastAsia" w:ascii="仿宋" w:eastAsia="仿宋"/>
                <w:b/>
                <w:color w:val="auto"/>
                <w:sz w:val="32"/>
                <w:szCs w:val="32"/>
              </w:rPr>
            </w:pPr>
            <w:r>
              <w:rPr>
                <w:rFonts w:hint="eastAsia" w:ascii="仿宋" w:eastAsia="仿宋"/>
                <w:color w:val="auto"/>
                <w:sz w:val="24"/>
                <w:szCs w:val="24"/>
              </w:rPr>
              <w:t>现任肽研社行业研究总监。曾为某多肽上市公司两起国际并购项目主要成员，两个项目估值分别为$20亿和€1.8亿；负责产品预测，市场尽职调查，知识产权尽职调查与FTO分析，及投资者关系。同时管理某多肽上市公司知识产权，负责专利&amp;商标申请与保护，专利挑战与风险分析等。帝国理工学院分子植物学与微生物学硕士学位；伦敦大学学院药物发现与药企管理硕士学位。</w:t>
            </w:r>
          </w:p>
        </w:tc>
        <w:tc>
          <w:tcPr>
            <w:tcW w:w="2406" w:type="dxa"/>
            <w:shd w:val="clear" w:color="auto" w:fill="auto"/>
          </w:tcPr>
          <w:p>
            <w:pPr>
              <w:widowControl/>
              <w:jc w:val="center"/>
              <w:rPr>
                <w:rFonts w:hint="eastAsia" w:ascii="仿宋" w:eastAsia="仿宋"/>
                <w:color w:val="auto"/>
                <w:sz w:val="24"/>
                <w:szCs w:val="24"/>
              </w:rPr>
            </w:pPr>
            <w:r>
              <w:rPr>
                <w:rFonts w:eastAsia="仿宋"/>
                <w:color w:val="auto"/>
                <w:sz w:val="28"/>
                <w:szCs w:val="28"/>
              </w:rPr>
              <w:drawing>
                <wp:inline distT="0" distB="0" distL="0" distR="0">
                  <wp:extent cx="1233805" cy="1687830"/>
                  <wp:effectExtent l="0" t="0" r="4445"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233805" cy="16878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7426" w:type="dxa"/>
            <w:shd w:val="clear" w:color="auto" w:fill="auto"/>
          </w:tcPr>
          <w:p>
            <w:pPr>
              <w:widowControl/>
              <w:jc w:val="left"/>
              <w:rPr>
                <w:rFonts w:hint="eastAsia" w:ascii="仿宋" w:eastAsia="仿宋"/>
                <w:b/>
                <w:color w:val="auto"/>
                <w:sz w:val="32"/>
                <w:szCs w:val="32"/>
                <w:lang w:eastAsia="zh-CN"/>
              </w:rPr>
            </w:pPr>
            <w:r>
              <w:rPr>
                <w:rFonts w:hint="eastAsia" w:ascii="仿宋" w:eastAsia="仿宋"/>
                <w:b/>
                <w:color w:val="auto"/>
                <w:sz w:val="32"/>
                <w:szCs w:val="32"/>
                <w:lang w:eastAsia="zh-CN"/>
              </w:rPr>
              <w:t>李常峰</w:t>
            </w:r>
          </w:p>
          <w:p>
            <w:pPr>
              <w:widowControl/>
              <w:ind w:firstLine="495"/>
              <w:jc w:val="left"/>
              <w:rPr>
                <w:rFonts w:hint="eastAsia" w:ascii="仿宋" w:eastAsia="仿宋"/>
                <w:color w:val="auto"/>
                <w:sz w:val="24"/>
                <w:szCs w:val="24"/>
              </w:rPr>
            </w:pPr>
            <w:r>
              <w:rPr>
                <w:rFonts w:hint="eastAsia" w:ascii="仿宋" w:eastAsia="仿宋"/>
                <w:color w:val="auto"/>
                <w:sz w:val="24"/>
                <w:szCs w:val="24"/>
              </w:rPr>
              <w:t>2009年毕业后加入凯莱英医药集团，历任研发组长、研发副主管、研发主管和高级研发主管，先后参与负责&gt;20个创新药和仿制药API或中间体新路线设计，工艺研发及生产放大等工作。在学术研究方面，先后参与多项国家自然科学基金；并参与负责由Pﬁzer, Boehringer-Ingelheim, Abbvie和凯莱英等公司组成的非贵金属催化联盟（Non-Precious Metal Catalysis Alliance）开发研究工作；相关成果先后在Angew. Chem., Int. Ed.，Org. Lett.，J. Org. Chem.，</w:t>
            </w:r>
            <w:r>
              <w:rPr>
                <w:rFonts w:hint="eastAsia" w:ascii="仿宋" w:eastAsia="仿宋"/>
                <w:color w:val="auto"/>
                <w:sz w:val="24"/>
                <w:szCs w:val="24"/>
                <w:lang w:val="en-CA"/>
              </w:rPr>
              <w:t>ChemCatChem</w:t>
            </w:r>
            <w:r>
              <w:rPr>
                <w:rFonts w:hint="eastAsia" w:ascii="仿宋" w:eastAsia="仿宋"/>
                <w:color w:val="auto"/>
                <w:sz w:val="24"/>
                <w:szCs w:val="24"/>
              </w:rPr>
              <w:t>，</w:t>
            </w:r>
            <w:r>
              <w:rPr>
                <w:rFonts w:hint="eastAsia" w:ascii="仿宋" w:eastAsia="仿宋"/>
                <w:color w:val="auto"/>
                <w:sz w:val="24"/>
                <w:szCs w:val="24"/>
                <w:lang w:val="en-CA"/>
              </w:rPr>
              <w:t>Chemistry – An Asian Journal</w:t>
            </w:r>
            <w:r>
              <w:rPr>
                <w:rFonts w:hint="eastAsia" w:ascii="仿宋" w:eastAsia="仿宋"/>
                <w:color w:val="auto"/>
                <w:sz w:val="24"/>
                <w:szCs w:val="24"/>
              </w:rPr>
              <w:t>等国际知名杂志上发表论文7篇，申请国内外专利15项（已授权10篇）。</w:t>
            </w:r>
          </w:p>
          <w:p>
            <w:pPr>
              <w:widowControl/>
              <w:ind w:firstLine="495"/>
              <w:jc w:val="left"/>
              <w:rPr>
                <w:rFonts w:hint="eastAsia" w:ascii="仿宋" w:eastAsia="仿宋"/>
                <w:color w:val="auto"/>
                <w:sz w:val="24"/>
                <w:szCs w:val="24"/>
              </w:rPr>
            </w:pPr>
            <w:r>
              <w:rPr>
                <w:rFonts w:hint="eastAsia" w:ascii="仿宋" w:eastAsia="仿宋"/>
                <w:color w:val="auto"/>
                <w:sz w:val="24"/>
                <w:szCs w:val="24"/>
              </w:rPr>
              <w:t>2016年起参与负责多肽类药物及其中间体的固/液相合成工艺研发生产；并自2020年起，担任化学大分子部研发高级主管并作为多肽团队首席高级研究员，负责固相合成多肽CDMO业务，以及多肽实验室管理，包括客户管理和研发生产项目管理等。</w:t>
            </w:r>
          </w:p>
          <w:p>
            <w:pPr>
              <w:widowControl/>
              <w:ind w:firstLine="495"/>
              <w:jc w:val="left"/>
              <w:rPr>
                <w:rFonts w:hint="eastAsia" w:ascii="仿宋" w:eastAsia="仿宋"/>
                <w:color w:val="auto"/>
                <w:sz w:val="24"/>
                <w:szCs w:val="24"/>
              </w:rPr>
            </w:pPr>
          </w:p>
        </w:tc>
        <w:tc>
          <w:tcPr>
            <w:tcW w:w="2406" w:type="dxa"/>
            <w:shd w:val="clear" w:color="auto" w:fill="auto"/>
          </w:tcPr>
          <w:p>
            <w:pPr>
              <w:widowControl/>
              <w:jc w:val="left"/>
              <w:rPr>
                <w:rFonts w:eastAsia="仿宋"/>
                <w:color w:val="auto"/>
                <w:sz w:val="28"/>
                <w:szCs w:val="28"/>
              </w:rPr>
            </w:pPr>
            <w:r>
              <w:rPr>
                <w:rFonts w:ascii="Cambria" w:hAnsi="Cambria"/>
                <w:b/>
                <w:bCs/>
              </w:rPr>
              <w:drawing>
                <wp:anchor distT="0" distB="0" distL="0" distR="0" simplePos="0" relativeHeight="251676672" behindDoc="0" locked="0" layoutInCell="1" allowOverlap="1">
                  <wp:simplePos x="0" y="0"/>
                  <wp:positionH relativeFrom="column">
                    <wp:posOffset>50800</wp:posOffset>
                  </wp:positionH>
                  <wp:positionV relativeFrom="paragraph">
                    <wp:posOffset>650875</wp:posOffset>
                  </wp:positionV>
                  <wp:extent cx="1296035" cy="1725930"/>
                  <wp:effectExtent l="0" t="0" r="18415" b="7620"/>
                  <wp:wrapNone/>
                  <wp:docPr id="20" name="图片 20" descr="C:\Users\lichangfeng\Desktop\李常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lichangfeng\Desktop\李常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296035" cy="172593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0" w:hRule="atLeast"/>
          <w:jc w:val="center"/>
        </w:trPr>
        <w:tc>
          <w:tcPr>
            <w:tcW w:w="7426" w:type="dxa"/>
            <w:shd w:val="clear" w:color="auto" w:fill="auto"/>
          </w:tcPr>
          <w:p>
            <w:pPr>
              <w:widowControl/>
              <w:jc w:val="left"/>
              <w:rPr>
                <w:rFonts w:ascii="仿宋" w:eastAsia="仿宋"/>
                <w:b/>
                <w:color w:val="auto"/>
                <w:sz w:val="32"/>
                <w:szCs w:val="32"/>
              </w:rPr>
            </w:pPr>
            <w:r>
              <w:rPr>
                <w:rFonts w:hint="eastAsia" w:ascii="仿宋" w:eastAsia="仿宋"/>
                <w:b/>
                <w:color w:val="auto"/>
                <w:sz w:val="32"/>
                <w:szCs w:val="32"/>
              </w:rPr>
              <w:t>杨顶建</w:t>
            </w:r>
          </w:p>
          <w:p>
            <w:pPr>
              <w:widowControl/>
              <w:ind w:firstLine="495"/>
              <w:jc w:val="left"/>
              <w:rPr>
                <w:rFonts w:ascii="仿宋" w:eastAsia="仿宋"/>
                <w:color w:val="auto"/>
                <w:sz w:val="24"/>
                <w:szCs w:val="24"/>
              </w:rPr>
            </w:pPr>
            <w:r>
              <w:rPr>
                <w:rFonts w:hint="eastAsia" w:ascii="仿宋" w:eastAsia="仿宋"/>
                <w:color w:val="auto"/>
                <w:sz w:val="24"/>
                <w:szCs w:val="24"/>
              </w:rPr>
              <w:t>博士，海南建邦制药科技有限公司总经理，主要从事多肽药物合成工艺及生产自动化，药物的纯化工艺及设备、药物合成过程的浓缩与回收工艺及设备等方面的研究，以研制开发具有自主知识产权的系列多肽药物合成仪、全自动大容量药物合成仪、制备液相、纳滤浓缩机等产品。</w:t>
            </w:r>
          </w:p>
        </w:tc>
        <w:tc>
          <w:tcPr>
            <w:tcW w:w="2406" w:type="dxa"/>
            <w:shd w:val="clear" w:color="auto" w:fill="auto"/>
          </w:tcPr>
          <w:p>
            <w:pPr>
              <w:widowControl/>
              <w:jc w:val="center"/>
              <w:rPr>
                <w:rFonts w:ascii="仿宋" w:eastAsia="仿宋"/>
                <w:color w:val="auto"/>
                <w:sz w:val="24"/>
                <w:szCs w:val="24"/>
              </w:rPr>
            </w:pPr>
            <w:r>
              <w:rPr>
                <w:rFonts w:ascii="仿宋" w:eastAsia="仿宋"/>
                <w:color w:val="auto"/>
                <w:sz w:val="24"/>
                <w:szCs w:val="24"/>
              </w:rPr>
              <w:drawing>
                <wp:inline distT="0" distB="0" distL="0" distR="0">
                  <wp:extent cx="1281430" cy="1423035"/>
                  <wp:effectExtent l="0" t="0" r="13970" b="5715"/>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noChangeArrowheads="1"/>
                          </pic:cNvPicPr>
                        </pic:nvPicPr>
                        <pic:blipFill>
                          <a:blip r:embed="rId32" cstate="print"/>
                          <a:srcRect/>
                          <a:stretch>
                            <a:fillRect/>
                          </a:stretch>
                        </pic:blipFill>
                        <pic:spPr>
                          <a:xfrm>
                            <a:off x="0" y="0"/>
                            <a:ext cx="1285875" cy="1427816"/>
                          </a:xfrm>
                          <a:prstGeom prst="rect">
                            <a:avLst/>
                          </a:prstGeom>
                          <a:noFill/>
                          <a:ln w="9525">
                            <a:noFill/>
                            <a:miter lim="800000"/>
                            <a:headEnd/>
                            <a:tailEnd/>
                          </a:ln>
                        </pic:spPr>
                      </pic:pic>
                    </a:graphicData>
                  </a:graphic>
                </wp:inline>
              </w:drawing>
            </w:r>
          </w:p>
        </w:tc>
      </w:tr>
    </w:tbl>
    <w:p>
      <w:pPr>
        <w:rPr>
          <w:rFonts w:ascii="仿宋" w:eastAsia="仿宋"/>
          <w:b/>
          <w:sz w:val="24"/>
          <w:szCs w:val="24"/>
        </w:rPr>
      </w:pPr>
    </w:p>
    <w:p>
      <w:pPr>
        <w:rPr>
          <w:rFonts w:ascii="仿宋" w:eastAsia="仿宋"/>
          <w:b/>
          <w:sz w:val="24"/>
        </w:rPr>
      </w:pPr>
    </w:p>
    <w:p>
      <w:pPr>
        <w:spacing w:line="360" w:lineRule="auto"/>
        <w:rPr>
          <w:rFonts w:asciiTheme="majorEastAsia" w:hAnsiTheme="majorEastAsia" w:eastAsiaTheme="majorEastAsia"/>
          <w:b/>
          <w:sz w:val="28"/>
          <w:szCs w:val="28"/>
        </w:rPr>
      </w:pPr>
      <w:r>
        <w:rPr>
          <w:rFonts w:hint="eastAsia" w:asciiTheme="majorEastAsia" w:hAnsiTheme="majorEastAsia" w:eastAsiaTheme="majorEastAsia"/>
          <w:b/>
          <w:color w:val="FF0000"/>
          <w:sz w:val="28"/>
          <w:szCs w:val="28"/>
        </w:rPr>
        <w:t>备注：以上排名不分先后</w:t>
      </w:r>
      <w:r>
        <w:rPr>
          <w:rFonts w:hint="eastAsia" w:asciiTheme="majorEastAsia" w:hAnsiTheme="majorEastAsia" w:eastAsiaTheme="majorEastAsia"/>
          <w:b/>
          <w:color w:val="FF0000"/>
          <w:sz w:val="28"/>
          <w:szCs w:val="28"/>
          <w:lang w:eastAsia="zh-CN"/>
        </w:rPr>
        <w:t>！</w:t>
      </w:r>
      <w:r>
        <w:rPr>
          <w:rFonts w:hint="eastAsia" w:asciiTheme="majorEastAsia" w:hAnsiTheme="majorEastAsia" w:eastAsiaTheme="majorEastAsia"/>
          <w:b/>
          <w:sz w:val="28"/>
          <w:szCs w:val="28"/>
        </w:rPr>
        <w:t xml:space="preserve"> </w:t>
      </w:r>
    </w:p>
    <w:p>
      <w:pPr>
        <w:rPr>
          <w:rFonts w:ascii="仿宋" w:eastAsia="仿宋"/>
          <w:b/>
          <w:sz w:val="24"/>
        </w:rPr>
      </w:pPr>
    </w:p>
    <w:p>
      <w:pPr>
        <w:snapToGrid w:val="0"/>
        <w:spacing w:line="300" w:lineRule="auto"/>
        <w:rPr>
          <w:rFonts w:ascii="仿宋" w:eastAsia="仿宋"/>
          <w:color w:val="000000"/>
          <w:sz w:val="30"/>
          <w:szCs w:val="30"/>
        </w:rPr>
      </w:pPr>
      <w:r>
        <w:rPr>
          <w:rFonts w:hint="eastAsia" w:ascii="仿宋" w:eastAsia="仿宋"/>
          <w:color w:val="000000"/>
          <w:sz w:val="30"/>
          <w:szCs w:val="30"/>
        </w:rPr>
        <w:t>微信公众号二维码：</w:t>
      </w:r>
    </w:p>
    <w:p>
      <w:pPr>
        <w:snapToGrid w:val="0"/>
        <w:spacing w:line="300" w:lineRule="auto"/>
        <w:rPr>
          <w:rFonts w:ascii="仿宋" w:eastAsia="仿宋"/>
          <w:color w:val="000000"/>
          <w:sz w:val="30"/>
          <w:szCs w:val="30"/>
        </w:rPr>
      </w:pPr>
      <w:r>
        <w:rPr>
          <w:rFonts w:ascii="仿宋" w:eastAsia="仿宋"/>
          <w:color w:val="000000"/>
          <w:sz w:val="30"/>
          <w:szCs w:val="30"/>
        </w:rPr>
        <w:drawing>
          <wp:inline distT="0" distB="0" distL="0" distR="0">
            <wp:extent cx="1041400" cy="929640"/>
            <wp:effectExtent l="19050" t="0" r="5751" b="0"/>
            <wp:docPr id="10" name="图片 1" descr="C:\Users\Administrator\Desktop\qrcode_for_gh_3e01c9dbefd7_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Administrator\Desktop\qrcode_for_gh_3e01c9dbefd7_430.jpg"/>
                    <pic:cNvPicPr>
                      <a:picLocks noChangeAspect="1" noChangeArrowheads="1"/>
                    </pic:cNvPicPr>
                  </pic:nvPicPr>
                  <pic:blipFill>
                    <a:blip r:embed="rId33" cstate="print"/>
                    <a:srcRect/>
                    <a:stretch>
                      <a:fillRect/>
                    </a:stretch>
                  </pic:blipFill>
                  <pic:spPr>
                    <a:xfrm>
                      <a:off x="0" y="0"/>
                      <a:ext cx="1044187" cy="932002"/>
                    </a:xfrm>
                    <a:prstGeom prst="rect">
                      <a:avLst/>
                    </a:prstGeom>
                    <a:noFill/>
                    <a:ln w="9525">
                      <a:noFill/>
                      <a:miter lim="800000"/>
                      <a:headEnd/>
                      <a:tailEnd/>
                    </a:ln>
                  </pic:spPr>
                </pic:pic>
              </a:graphicData>
            </a:graphic>
          </wp:inline>
        </w:drawing>
      </w:r>
      <w:r>
        <w:rPr>
          <w:rFonts w:hint="eastAsia" w:ascii="仿宋" w:eastAsia="仿宋"/>
          <w:color w:val="000000"/>
          <w:sz w:val="30"/>
          <w:szCs w:val="30"/>
        </w:rPr>
        <w:t xml:space="preserve">  </w:t>
      </w:r>
    </w:p>
    <w:p>
      <w:pPr>
        <w:snapToGrid w:val="0"/>
        <w:spacing w:line="300" w:lineRule="auto"/>
        <w:rPr>
          <w:rFonts w:ascii="仿宋" w:eastAsia="仿宋"/>
          <w:color w:val="000000"/>
          <w:sz w:val="30"/>
          <w:szCs w:val="30"/>
        </w:rPr>
      </w:pPr>
      <w:r>
        <w:rPr>
          <w:rFonts w:hint="eastAsia" w:ascii="仿宋" w:eastAsia="仿宋"/>
          <w:color w:val="000000"/>
          <w:sz w:val="30"/>
          <w:szCs w:val="30"/>
        </w:rPr>
        <w:t>官方网址：</w:t>
      </w:r>
      <w:r>
        <w:rPr>
          <w:rFonts w:ascii="仿宋" w:eastAsia="仿宋"/>
          <w:color w:val="000000"/>
          <w:sz w:val="30"/>
          <w:szCs w:val="30"/>
        </w:rPr>
        <w:t>http://www.tideschina.cn/</w:t>
      </w:r>
    </w:p>
    <w:p>
      <w:pPr>
        <w:rPr>
          <w:rFonts w:ascii="仿宋" w:eastAsia="仿宋"/>
          <w:b/>
          <w:sz w:val="24"/>
        </w:rPr>
        <w:sectPr>
          <w:headerReference r:id="rId3" w:type="default"/>
          <w:pgSz w:w="11906" w:h="16838"/>
          <w:pgMar w:top="1191" w:right="1247" w:bottom="1134" w:left="1219" w:header="851" w:footer="992" w:gutter="0"/>
          <w:cols w:space="720" w:num="1"/>
          <w:docGrid w:type="lines" w:linePitch="312" w:charSpace="0"/>
        </w:sectPr>
      </w:pPr>
    </w:p>
    <w:p>
      <w:pPr>
        <w:spacing w:line="300" w:lineRule="auto"/>
        <w:rPr>
          <w:rFonts w:hint="eastAsia" w:ascii="仿宋" w:eastAsia="仿宋"/>
          <w:b/>
          <w:color w:val="000000"/>
          <w:sz w:val="32"/>
          <w:szCs w:val="32"/>
        </w:rPr>
      </w:pPr>
      <w:r>
        <w:rPr>
          <w:rFonts w:hint="eastAsia" w:ascii="仿宋" w:eastAsia="仿宋"/>
          <w:b/>
          <w:color w:val="000000"/>
          <w:sz w:val="32"/>
          <w:szCs w:val="32"/>
        </w:rPr>
        <w:t>附5：往届参会单位一览表：</w:t>
      </w:r>
    </w:p>
    <w:tbl>
      <w:tblPr>
        <w:tblStyle w:val="5"/>
        <w:tblW w:w="11682" w:type="dxa"/>
        <w:jc w:val="center"/>
        <w:shd w:val="clear" w:color="auto" w:fill="auto"/>
        <w:tblLayout w:type="autofit"/>
        <w:tblCellMar>
          <w:top w:w="0" w:type="dxa"/>
          <w:left w:w="0" w:type="dxa"/>
          <w:bottom w:w="0" w:type="dxa"/>
          <w:right w:w="0" w:type="dxa"/>
        </w:tblCellMar>
      </w:tblPr>
      <w:tblGrid>
        <w:gridCol w:w="4300"/>
        <w:gridCol w:w="3533"/>
        <w:gridCol w:w="3849"/>
      </w:tblGrid>
      <w:tr>
        <w:tblPrEx>
          <w:shd w:val="clear" w:color="auto" w:fill="auto"/>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阿克苏诺贝尔 Kromasil</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华东理工大学</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深圳市图微安创科技开发有限公司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艾美科健（中国）生物医药有限公司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华润双鹤药业股份有限公司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深圳市维琪医药研发有限公司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爱默生物科技（合肥）有限公司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惠州信立泰药业有限公司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深圳先进技术研究院</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安徽时联特种溶剂股份有限公司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吉尔生化(上海)有限公司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深圳信立泰药业股份有限公司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安士制药（中山）有限公司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济南康和医药科技有限公司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深圳羽众医药科技有限公司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澳门科技大学</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江苏汉邦科技有限公司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燊肽科技(上海)有限公司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拜泰齐贸易(上海)有限公司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江苏宏尔瑞新材料有限公司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燊肽科技（上海）有限公司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北京创新通恒科技有限公司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江苏金斯瑞生物科技有限公司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生物科技有限公司</w:t>
            </w:r>
          </w:p>
        </w:tc>
      </w:tr>
      <w:tr>
        <w:tblPrEx>
          <w:tblCellMar>
            <w:top w:w="0" w:type="dxa"/>
            <w:left w:w="0" w:type="dxa"/>
            <w:bottom w:w="0" w:type="dxa"/>
            <w:right w:w="0" w:type="dxa"/>
          </w:tblCellMar>
        </w:tblPrEx>
        <w:trPr>
          <w:trHeight w:val="436"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江苏诺泰澳赛诺生物制药股份有限公司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北京大学深圳研究院</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适济生物科技有限公司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北京防化研究院</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江苏申琅生物科技有限公司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双元泰和药业有限公司</w:t>
            </w:r>
          </w:p>
        </w:tc>
      </w:tr>
      <w:tr>
        <w:tblPrEx>
          <w:tblCellMar>
            <w:top w:w="0" w:type="dxa"/>
            <w:left w:w="0" w:type="dxa"/>
            <w:bottom w:w="0" w:type="dxa"/>
            <w:right w:w="0" w:type="dxa"/>
          </w:tblCellMar>
        </w:tblPrEx>
        <w:trPr>
          <w:trHeight w:val="90"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北京慧德易科技有限责任公司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江苏胜普泰制药有限公司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四川安派博生物科技有限公公司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北京普诺旺康医药科技有限公司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江苏新征鸿净化工程技术有限公司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四川安派博生物科技有限公司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北京赛升药业股份有限公司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江西佰利达制药有限公司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四川吉晟生物医药有限公司</w:t>
            </w:r>
          </w:p>
        </w:tc>
      </w:tr>
      <w:tr>
        <w:tblPrEx>
          <w:tblCellMar>
            <w:top w:w="0" w:type="dxa"/>
            <w:left w:w="0" w:type="dxa"/>
            <w:bottom w:w="0" w:type="dxa"/>
            <w:right w:w="0" w:type="dxa"/>
          </w:tblCellMar>
        </w:tblPrEx>
        <w:trPr>
          <w:trHeight w:val="320"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江西省中科院大连化物所中药科学中心</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北京世纪迈劲生物科技有限公司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四川科伦药物研究院有限公司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北京市肿瘤防治研究所</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江西师范大学</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四川源基制药有限公司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北京四环起航科技有限公司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军事医学研究院毒物药物研究所</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苏州国嘀医药科技有限公司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博瑞生物医药（苏州）股份有限公司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开封明仁药业有限公司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苏州国镝医药科技有限公司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博瑞天科（西安）新材料科技有限公司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康石医药科技(上海)有限公司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苏州昊帆生物股份有限公司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美药典标准研发技术服务（上海）有限公司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昆明积大制药股份有限公司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苏州汇通色谱分离纯化有限公司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常州合全药业有限公司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兰州大学</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苏州麦可旺志生物技术有限公司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常州瑞曦生物科技有限公司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兰州军区总医院</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苏州纳微科技股份有限公司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常州四药制药有限公司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兰州凯博药业股份有限公司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苏州前沿天吉生物制药有限公司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常山凯捷健生物药物研发（河北）有限公司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成都诚诺新技术有限公司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苏州天马药业有限公司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苏州天马医药集团天吉生物制药有限公司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成都格莱精密仪器有限公司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南京工业大学</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成都国为生物医药有限公司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南京工业大学化工学院</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苏州宜百奥生物科技有限公司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成都铼谱科技有限公司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南京金斯瑞生物科技有限公司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苏州正济药业有限公司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成都诺和晟泰生物科技有限公司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南京礼威生物医药有限公司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天津博纳艾杰尔科技有限公司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成都普康生物科技有限公司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南京淘普生物技术有限公司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天津红日药业股份有限公司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成都普瑞法科技开发有限公司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宁波百睿达医药科技有限公司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天津南开和成科技有限公司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成都圣诺生物医药科技发展有限公司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诺华赛分离技术（上海）有限公司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天津市康科德科技有限公司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成都圣诺生物制药有限公司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诺力昂新材料（苏州）有限公司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天津威特生物医药有限责任公司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成都市科隆化学品有限公司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诺矢新材料科技（上海）有限公司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天津药明康德新药开发有限公司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成都驷博生物科技有限公司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普洛药业股份有限公司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同宜医药（苏州）有限公司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成都泰和伟业生物科技有限公司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齐鲁制药（海南）有限公司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潍坊中汇化工有限公司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成都天台山制药有限公司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齐鲁制药有限公司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无锡加莱克色谱科技有限公司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成都医学院</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前沿生物药业（南京）股份有限公司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武汉帕肽生物医药有限责任公司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成都郑源生化科技有限公司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青岛双元泰和药业有限公司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武汉赛沃医药科技有限公司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大连阿拉宁生物技术有限公司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青海晨菲制药有限公司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武汉药明康德新药开发有限公司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德祥科技有限公司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日本富士硅化学上海代表处</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西安蓝晓科技新材料股份有限公司</w:t>
            </w:r>
          </w:p>
        </w:tc>
      </w:tr>
      <w:tr>
        <w:tblPrEx>
          <w:tblCellMar>
            <w:top w:w="0" w:type="dxa"/>
            <w:left w:w="0" w:type="dxa"/>
            <w:bottom w:w="0" w:type="dxa"/>
            <w:right w:w="0" w:type="dxa"/>
          </w:tblCellMar>
        </w:tblPrEx>
        <w:trPr>
          <w:trHeight w:val="184"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扬子江药业集团江苏海慈生物药业有限公司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2"/>
                <w:sz w:val="21"/>
                <w:szCs w:val="21"/>
                <w:u w:val="none"/>
                <w:lang w:val="en-US" w:eastAsia="zh-CN" w:bidi="ar-SA"/>
              </w:rPr>
            </w:pPr>
            <w:r>
              <w:rPr>
                <w:rFonts w:hint="eastAsia" w:ascii="宋体" w:hAnsi="宋体" w:eastAsia="宋体" w:cs="宋体"/>
                <w:i w:val="0"/>
                <w:color w:val="000000"/>
                <w:kern w:val="0"/>
                <w:sz w:val="21"/>
                <w:szCs w:val="21"/>
                <w:u w:val="none"/>
                <w:lang w:val="en-US" w:eastAsia="zh-CN" w:bidi="ar"/>
              </w:rPr>
              <w:t>福建省闽东力捷迅药业有限公司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日本富士硅化学有限公司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富乐马鸿凯（大连）医药有限公司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日本株式会社维美希上海代表处（YMC）</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扬子江药业集团四川海蓉药业有限公司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富士硅化学有限公司上海办事处</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瑞士伯尔尼大学</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YMC上海代表处</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甘李药业股份有限公司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润辉生物技术（威海）有限公司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远大医药(中国)有限公司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甘李药业江苏有限公司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厦门赛诺邦格生物科技股份有限公司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酝博科技（北京）有限公司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广东省生物医药技术研究所</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厦门胜泽泰医药科技有限公司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长春百益制药有限责任公司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广州博济生物医药科技园有限公司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山东汉泰生物科技有限公司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长春金赛药业股份有限公司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广州博济医药生物技术股份有限公司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山东绿叶制药有限公司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浙江昂拓莱司生物技术有限公司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广州得翔科技有限公司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山东新时代药业有限公司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浙江大学</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广州赛莱拉干细胞科技股份有限公司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山西德元堂药业有限公司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浙江胡涂硅科技有限公司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广州市力鑫药业有限公司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陕西麦科奥特科技有限公司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浙江理工大学</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广州同隽医药科技有限公司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上海拜铂肽臣生物科技有限公司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浙江湃肽生物有限公司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广州蔚林生物科技有限公司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上海多米瑞生物技术有限公司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浙江普尔树脂有限公司</w:t>
            </w:r>
          </w:p>
        </w:tc>
      </w:tr>
      <w:tr>
        <w:tblPrEx>
          <w:tblCellMar>
            <w:top w:w="0" w:type="dxa"/>
            <w:left w:w="0" w:type="dxa"/>
            <w:bottom w:w="0" w:type="dxa"/>
            <w:right w:w="0" w:type="dxa"/>
          </w:tblCellMar>
        </w:tblPrEx>
        <w:trPr>
          <w:trHeight w:val="412"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海南博鳌瑞达麦迪赛尔国际医疗中心有限公司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上海汉尧仪器设备有限公司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浙江润鑫医药科技有限公司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海南澋润生物科技有限公司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上海华东理工大学</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浙江苏泊尔制药有限公司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海南皇隆制药股份有限公司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上海交通大学</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正大天晴药业集团股份有限公司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上海交通大学医学院附属上海儿童医学中心</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郑州大学生命科学学院</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海南省药学会</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海南双成药业股份有限公司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上海科胜药物研发有限公司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中国计量大学</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海南同鑫投资有限公司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上海联民生物制品有限公司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中国科学技术大学</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海南中和药业股份有限公司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上海赛梵科分离技术有限公司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中国科学院过程工程研究所</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海南中化联合制药工业股份有限公司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上海上药第一生化药业有限公司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中国科学院化学研究所中科院</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海南中玉药业有限公司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上海胜泽泰医药科技有限公司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中国科学院上海药物研究所</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海南卓泰制药有限公司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上海星可高纯溶剂有限公司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中国科学院生态环境研究中心</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汉肽生物医药集团有限公司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上海医药工业研究院</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中国生化制药工业协会</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杭州固拓生物科技有限公司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绍兴市春马化工有限公司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中国药科大学</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杭州和泽医药科技有限公司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申联生物医药（上海）股份有限公司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中国医学科学院医药生物技术研究所</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杭州彗搏科技有限公司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深创生物</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中国医药工业研究总院</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杭州肽佳生物科技有限公司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深圳翰宇药业股份有限公司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中科森辉微球技术（苏州）有限公司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杭州中美华东制药有限公司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深圳佳肽生物科技有限公司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中南民族大学</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合肥国肽生物科技有限公司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深圳君圣泰生物技术有限公司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中山大学</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合肥科生景肽生物科技有限公司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深圳瑞德林生物技术有限公司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中肽生化有限公司</w:t>
            </w:r>
          </w:p>
        </w:tc>
      </w:tr>
      <w:tr>
        <w:tblPrEx>
          <w:tblCellMar>
            <w:top w:w="0" w:type="dxa"/>
            <w:left w:w="0" w:type="dxa"/>
            <w:bottom w:w="0" w:type="dxa"/>
            <w:right w:w="0" w:type="dxa"/>
          </w:tblCellMar>
        </w:tblPrEx>
        <w:trPr>
          <w:trHeight w:val="337"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河北常山生化药业股份有限公司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深圳深创生物药业有限公司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重庆莱美隆宇药业有限公司</w:t>
            </w:r>
          </w:p>
        </w:tc>
      </w:tr>
      <w:tr>
        <w:tblPrEx>
          <w:tblCellMar>
            <w:top w:w="0" w:type="dxa"/>
            <w:left w:w="0" w:type="dxa"/>
            <w:bottom w:w="0" w:type="dxa"/>
            <w:right w:w="0" w:type="dxa"/>
          </w:tblCellMar>
        </w:tblPrEx>
        <w:trPr>
          <w:trHeight w:val="346" w:hRule="atLeast"/>
          <w:jc w:val="center"/>
        </w:trPr>
        <w:tc>
          <w:tcPr>
            <w:tcW w:w="430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湖北弗顿科学技术有限公司</w:t>
            </w:r>
          </w:p>
        </w:tc>
        <w:tc>
          <w:tcPr>
            <w:tcW w:w="353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深圳市健元医药科技有限公司</w:t>
            </w:r>
          </w:p>
        </w:tc>
        <w:tc>
          <w:tcPr>
            <w:tcW w:w="384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珠海联邦制药股份有限公司</w:t>
            </w:r>
          </w:p>
        </w:tc>
      </w:tr>
    </w:tbl>
    <w:p>
      <w:pPr>
        <w:spacing w:line="360" w:lineRule="auto"/>
        <w:rPr>
          <w:rFonts w:hint="eastAsia" w:asciiTheme="majorEastAsia" w:hAnsiTheme="majorEastAsia" w:eastAsiaTheme="majorEastAsia"/>
          <w:b/>
          <w:color w:val="FF0000"/>
          <w:sz w:val="28"/>
          <w:szCs w:val="28"/>
        </w:rPr>
      </w:pPr>
      <w:r>
        <w:rPr>
          <w:rFonts w:hint="eastAsia" w:asciiTheme="majorEastAsia" w:hAnsiTheme="majorEastAsia" w:eastAsiaTheme="majorEastAsia"/>
          <w:b/>
          <w:color w:val="FF0000"/>
          <w:sz w:val="28"/>
          <w:szCs w:val="28"/>
        </w:rPr>
        <w:t>备注：以上排名不分先后 ！</w:t>
      </w:r>
    </w:p>
    <w:sectPr>
      <w:pgSz w:w="11906" w:h="16838"/>
      <w:pgMar w:top="1077" w:right="1418" w:bottom="1247"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ind w:firstLine="2801" w:firstLineChars="1550"/>
      <w:jc w:val="left"/>
      <w:rPr>
        <w:rFonts w:ascii="仿宋_GB2312" w:eastAsia="仿宋_GB2312"/>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942C9"/>
    <w:multiLevelType w:val="multilevel"/>
    <w:tmpl w:val="137942C9"/>
    <w:lvl w:ilvl="0" w:tentative="0">
      <w:start w:val="1"/>
      <w:numFmt w:val="japaneseCounting"/>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4F57CD"/>
    <w:rsid w:val="00010B9D"/>
    <w:rsid w:val="0001177A"/>
    <w:rsid w:val="00050172"/>
    <w:rsid w:val="000504CB"/>
    <w:rsid w:val="00061497"/>
    <w:rsid w:val="000953E2"/>
    <w:rsid w:val="00097E33"/>
    <w:rsid w:val="000A044B"/>
    <w:rsid w:val="000D7A82"/>
    <w:rsid w:val="000E0E2E"/>
    <w:rsid w:val="000E4BA7"/>
    <w:rsid w:val="000E5F6E"/>
    <w:rsid w:val="00106629"/>
    <w:rsid w:val="001103C2"/>
    <w:rsid w:val="001274FA"/>
    <w:rsid w:val="00130D65"/>
    <w:rsid w:val="00187727"/>
    <w:rsid w:val="00187C6B"/>
    <w:rsid w:val="001934E1"/>
    <w:rsid w:val="001B5213"/>
    <w:rsid w:val="001D5A5F"/>
    <w:rsid w:val="001F0B31"/>
    <w:rsid w:val="001F6D1E"/>
    <w:rsid w:val="00213189"/>
    <w:rsid w:val="00216D04"/>
    <w:rsid w:val="002522B4"/>
    <w:rsid w:val="002568E5"/>
    <w:rsid w:val="00270CEF"/>
    <w:rsid w:val="00320C8A"/>
    <w:rsid w:val="00324C85"/>
    <w:rsid w:val="003314F0"/>
    <w:rsid w:val="00341047"/>
    <w:rsid w:val="00371DB7"/>
    <w:rsid w:val="00386CB1"/>
    <w:rsid w:val="003937E4"/>
    <w:rsid w:val="003D3ABA"/>
    <w:rsid w:val="003F121D"/>
    <w:rsid w:val="003F67B2"/>
    <w:rsid w:val="00440B74"/>
    <w:rsid w:val="0045606D"/>
    <w:rsid w:val="00462701"/>
    <w:rsid w:val="004640E3"/>
    <w:rsid w:val="00480C3D"/>
    <w:rsid w:val="004843B3"/>
    <w:rsid w:val="004A227B"/>
    <w:rsid w:val="004A2D28"/>
    <w:rsid w:val="004A5652"/>
    <w:rsid w:val="004E658E"/>
    <w:rsid w:val="004F57CD"/>
    <w:rsid w:val="005050B3"/>
    <w:rsid w:val="0050777F"/>
    <w:rsid w:val="005253E4"/>
    <w:rsid w:val="00545F13"/>
    <w:rsid w:val="005623D2"/>
    <w:rsid w:val="005779D5"/>
    <w:rsid w:val="005944C5"/>
    <w:rsid w:val="005A0A87"/>
    <w:rsid w:val="005C1845"/>
    <w:rsid w:val="005E36E9"/>
    <w:rsid w:val="00605EC7"/>
    <w:rsid w:val="00622DB0"/>
    <w:rsid w:val="006315A7"/>
    <w:rsid w:val="00632D73"/>
    <w:rsid w:val="00662E5D"/>
    <w:rsid w:val="00674641"/>
    <w:rsid w:val="00685F2C"/>
    <w:rsid w:val="006955DF"/>
    <w:rsid w:val="006A2A8E"/>
    <w:rsid w:val="006A489B"/>
    <w:rsid w:val="006B0724"/>
    <w:rsid w:val="006D6B55"/>
    <w:rsid w:val="006D6EBC"/>
    <w:rsid w:val="006E4323"/>
    <w:rsid w:val="006F7923"/>
    <w:rsid w:val="00703BCF"/>
    <w:rsid w:val="00706D0F"/>
    <w:rsid w:val="00710987"/>
    <w:rsid w:val="007270DF"/>
    <w:rsid w:val="00754544"/>
    <w:rsid w:val="0075658C"/>
    <w:rsid w:val="00787BF2"/>
    <w:rsid w:val="00793A0D"/>
    <w:rsid w:val="00795435"/>
    <w:rsid w:val="007A468F"/>
    <w:rsid w:val="007E001C"/>
    <w:rsid w:val="007E0C01"/>
    <w:rsid w:val="007F12F1"/>
    <w:rsid w:val="007F27C3"/>
    <w:rsid w:val="008310CA"/>
    <w:rsid w:val="0084421C"/>
    <w:rsid w:val="00860BFF"/>
    <w:rsid w:val="008C0262"/>
    <w:rsid w:val="008C394A"/>
    <w:rsid w:val="008C5331"/>
    <w:rsid w:val="008C70C4"/>
    <w:rsid w:val="008E0ADD"/>
    <w:rsid w:val="008F13D2"/>
    <w:rsid w:val="008F5B91"/>
    <w:rsid w:val="009100B9"/>
    <w:rsid w:val="00915874"/>
    <w:rsid w:val="009334C1"/>
    <w:rsid w:val="0093667B"/>
    <w:rsid w:val="009369F7"/>
    <w:rsid w:val="009449A9"/>
    <w:rsid w:val="00946C4D"/>
    <w:rsid w:val="009538EB"/>
    <w:rsid w:val="00961947"/>
    <w:rsid w:val="0097328F"/>
    <w:rsid w:val="009A74EA"/>
    <w:rsid w:val="009D4EF7"/>
    <w:rsid w:val="009D66C0"/>
    <w:rsid w:val="009E0FF9"/>
    <w:rsid w:val="009E2AC2"/>
    <w:rsid w:val="009F357E"/>
    <w:rsid w:val="00A03A3B"/>
    <w:rsid w:val="00A1547D"/>
    <w:rsid w:val="00A35495"/>
    <w:rsid w:val="00A5360D"/>
    <w:rsid w:val="00A60746"/>
    <w:rsid w:val="00A7192E"/>
    <w:rsid w:val="00A722BC"/>
    <w:rsid w:val="00A97A5B"/>
    <w:rsid w:val="00AA1401"/>
    <w:rsid w:val="00AD7940"/>
    <w:rsid w:val="00AE7FE3"/>
    <w:rsid w:val="00B14A9E"/>
    <w:rsid w:val="00B226C3"/>
    <w:rsid w:val="00B506B6"/>
    <w:rsid w:val="00B5470F"/>
    <w:rsid w:val="00B64F0A"/>
    <w:rsid w:val="00B80029"/>
    <w:rsid w:val="00B851AC"/>
    <w:rsid w:val="00B94DBC"/>
    <w:rsid w:val="00BB2C2B"/>
    <w:rsid w:val="00BB686E"/>
    <w:rsid w:val="00BC52A7"/>
    <w:rsid w:val="00BD1FE8"/>
    <w:rsid w:val="00BE0C02"/>
    <w:rsid w:val="00BE52EE"/>
    <w:rsid w:val="00C0506F"/>
    <w:rsid w:val="00C25C56"/>
    <w:rsid w:val="00C430DA"/>
    <w:rsid w:val="00C53DCB"/>
    <w:rsid w:val="00C60EE1"/>
    <w:rsid w:val="00C64E50"/>
    <w:rsid w:val="00C8526B"/>
    <w:rsid w:val="00CC7C55"/>
    <w:rsid w:val="00CD039F"/>
    <w:rsid w:val="00CE0443"/>
    <w:rsid w:val="00CF2105"/>
    <w:rsid w:val="00D00E1E"/>
    <w:rsid w:val="00D03F5C"/>
    <w:rsid w:val="00D324C5"/>
    <w:rsid w:val="00D44AC6"/>
    <w:rsid w:val="00D522E5"/>
    <w:rsid w:val="00D70482"/>
    <w:rsid w:val="00D82F66"/>
    <w:rsid w:val="00DA7858"/>
    <w:rsid w:val="00DB3120"/>
    <w:rsid w:val="00DE6D82"/>
    <w:rsid w:val="00E045FC"/>
    <w:rsid w:val="00E24829"/>
    <w:rsid w:val="00E43F05"/>
    <w:rsid w:val="00E44515"/>
    <w:rsid w:val="00E72879"/>
    <w:rsid w:val="00EA2236"/>
    <w:rsid w:val="00EC2F22"/>
    <w:rsid w:val="00EC67AD"/>
    <w:rsid w:val="00ED2111"/>
    <w:rsid w:val="00ED4817"/>
    <w:rsid w:val="00F027B2"/>
    <w:rsid w:val="00F12607"/>
    <w:rsid w:val="00F16E3D"/>
    <w:rsid w:val="00F22D57"/>
    <w:rsid w:val="00F23E72"/>
    <w:rsid w:val="00F32D07"/>
    <w:rsid w:val="00F40769"/>
    <w:rsid w:val="00F64D72"/>
    <w:rsid w:val="00F75575"/>
    <w:rsid w:val="00F83997"/>
    <w:rsid w:val="00FC0911"/>
    <w:rsid w:val="00FC3E49"/>
    <w:rsid w:val="00FD176B"/>
    <w:rsid w:val="00FD560E"/>
    <w:rsid w:val="00FE6E8E"/>
    <w:rsid w:val="00FF5AD5"/>
    <w:rsid w:val="066D6250"/>
    <w:rsid w:val="0685297D"/>
    <w:rsid w:val="0BDB3A46"/>
    <w:rsid w:val="0E926008"/>
    <w:rsid w:val="13E16498"/>
    <w:rsid w:val="16716AE9"/>
    <w:rsid w:val="1B295F3B"/>
    <w:rsid w:val="1F9E562F"/>
    <w:rsid w:val="21E61236"/>
    <w:rsid w:val="25306686"/>
    <w:rsid w:val="27C243C1"/>
    <w:rsid w:val="2FFC5FB1"/>
    <w:rsid w:val="31316827"/>
    <w:rsid w:val="31876B44"/>
    <w:rsid w:val="32C831B7"/>
    <w:rsid w:val="33807ABB"/>
    <w:rsid w:val="34BB0929"/>
    <w:rsid w:val="39670E9F"/>
    <w:rsid w:val="3B18650D"/>
    <w:rsid w:val="3CF45622"/>
    <w:rsid w:val="4E7A3A9E"/>
    <w:rsid w:val="51A24E1D"/>
    <w:rsid w:val="55E551F6"/>
    <w:rsid w:val="57E473D2"/>
    <w:rsid w:val="5BC85C63"/>
    <w:rsid w:val="5F30382B"/>
    <w:rsid w:val="624F3337"/>
    <w:rsid w:val="63CF4086"/>
    <w:rsid w:val="664C146B"/>
    <w:rsid w:val="668E54B3"/>
    <w:rsid w:val="68201C80"/>
    <w:rsid w:val="689F27C2"/>
    <w:rsid w:val="6D0D3933"/>
    <w:rsid w:val="6D3314B3"/>
    <w:rsid w:val="784170AC"/>
    <w:rsid w:val="79A831F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29"/>
        <o:r id="V:Rule2" type="connector" idref="#_x0000_s1033"/>
        <o:r id="V:Rule3" type="connector" idref="#_x0000_s103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qFormat/>
    <w:uiPriority w:val="99"/>
    <w:rPr>
      <w:sz w:val="18"/>
      <w:szCs w:val="18"/>
    </w:rPr>
  </w:style>
  <w:style w:type="paragraph" w:styleId="3">
    <w:name w:val="footer"/>
    <w:basedOn w:val="1"/>
    <w:link w:val="10"/>
    <w:semiHidden/>
    <w:unhideWhenUsed/>
    <w:qFormat/>
    <w:uiPriority w:val="99"/>
    <w:pPr>
      <w:tabs>
        <w:tab w:val="center" w:pos="4153"/>
        <w:tab w:val="right" w:pos="8306"/>
      </w:tabs>
      <w:snapToGrid w:val="0"/>
      <w:jc w:val="left"/>
    </w:pPr>
    <w:rPr>
      <w:sz w:val="18"/>
      <w:szCs w:val="18"/>
    </w:rPr>
  </w:style>
  <w:style w:type="paragraph" w:styleId="4">
    <w:name w:val="header"/>
    <w:basedOn w:val="1"/>
    <w:link w:val="8"/>
    <w:qFormat/>
    <w:uiPriority w:val="99"/>
    <w:pPr>
      <w:pBdr>
        <w:bottom w:val="single" w:color="auto" w:sz="6" w:space="1"/>
      </w:pBdr>
      <w:tabs>
        <w:tab w:val="center" w:pos="4153"/>
        <w:tab w:val="right" w:pos="8306"/>
      </w:tabs>
      <w:snapToGrid w:val="0"/>
      <w:jc w:val="center"/>
    </w:pPr>
    <w:rPr>
      <w:sz w:val="18"/>
    </w:rPr>
  </w:style>
  <w:style w:type="paragraph" w:styleId="7">
    <w:name w:val="List Paragraph"/>
    <w:basedOn w:val="1"/>
    <w:qFormat/>
    <w:uiPriority w:val="34"/>
    <w:pPr>
      <w:ind w:firstLine="420" w:firstLineChars="200"/>
    </w:pPr>
  </w:style>
  <w:style w:type="character" w:customStyle="1" w:styleId="8">
    <w:name w:val="页眉 Char"/>
    <w:basedOn w:val="6"/>
    <w:link w:val="4"/>
    <w:qFormat/>
    <w:uiPriority w:val="99"/>
    <w:rPr>
      <w:rFonts w:ascii="Times New Roman" w:hAnsi="Times New Roman" w:eastAsia="宋体" w:cs="Times New Roman"/>
      <w:sz w:val="18"/>
      <w:szCs w:val="20"/>
    </w:rPr>
  </w:style>
  <w:style w:type="character" w:customStyle="1" w:styleId="9">
    <w:name w:val="批注框文本 Char"/>
    <w:basedOn w:val="6"/>
    <w:link w:val="2"/>
    <w:semiHidden/>
    <w:qFormat/>
    <w:uiPriority w:val="99"/>
    <w:rPr>
      <w:rFonts w:ascii="Times New Roman" w:hAnsi="Times New Roman" w:eastAsia="宋体" w:cs="Times New Roman"/>
      <w:sz w:val="18"/>
      <w:szCs w:val="18"/>
    </w:rPr>
  </w:style>
  <w:style w:type="character" w:customStyle="1" w:styleId="10">
    <w:name w:val="页脚 Char"/>
    <w:basedOn w:val="6"/>
    <w:link w:val="3"/>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GIF"/><Relationship Id="rId5" Type="http://schemas.openxmlformats.org/officeDocument/2006/relationships/image" Target="media/image1.pn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customXml" Target="../customXml/item2.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9.jpeg"/><Relationship Id="rId32" Type="http://schemas.openxmlformats.org/officeDocument/2006/relationships/image" Target="media/image28.pn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9"/>
    <customShpInfo spid="_x0000_s1033"/>
    <customShpInfo spid="_x0000_s103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607749-C66F-48FA-824D-16DAC5A957D3}">
  <ds:schemaRefs/>
</ds:datastoreItem>
</file>

<file path=docProps/app.xml><?xml version="1.0" encoding="utf-8"?>
<Properties xmlns="http://schemas.openxmlformats.org/officeDocument/2006/extended-properties" xmlns:vt="http://schemas.openxmlformats.org/officeDocument/2006/docPropsVTypes">
  <Template>Normal</Template>
  <Company>Microsoft User</Company>
  <Pages>13</Pages>
  <Words>1374</Words>
  <Characters>7837</Characters>
  <Lines>65</Lines>
  <Paragraphs>18</Paragraphs>
  <TotalTime>3</TotalTime>
  <ScaleCrop>false</ScaleCrop>
  <LinksUpToDate>false</LinksUpToDate>
  <CharactersWithSpaces>9193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2019-09-08T02:59:00Z</dcterms:created>
  <dc:creator>User</dc:creator>
  <cp:lastModifiedBy>大子儿。</cp:lastModifiedBy>
  <cp:lastPrinted>2019-09-06T06:55:00Z</cp:lastPrinted>
  <dcterms:modified xsi:type="dcterms:W3CDTF">2021-08-26T04:01:03Z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